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12EDD" w14:textId="607129B4" w:rsidR="00261927" w:rsidRPr="00CE0424" w:rsidRDefault="00261927" w:rsidP="00261927">
      <w:pPr>
        <w:pStyle w:val="3GPPHeader"/>
        <w:spacing w:after="60"/>
        <w:rPr>
          <w:sz w:val="32"/>
          <w:szCs w:val="32"/>
          <w:highlight w:val="yellow"/>
        </w:rPr>
      </w:pPr>
      <w:r w:rsidRPr="00CE0424">
        <w:t>3GPP TSG-RAN WG</w:t>
      </w:r>
      <w:r>
        <w:t>2</w:t>
      </w:r>
      <w:r w:rsidRPr="00CE0424">
        <w:t xml:space="preserve"> #</w:t>
      </w:r>
      <w:r>
        <w:t>99bis</w:t>
      </w:r>
      <w:r w:rsidRPr="00CE0424">
        <w:tab/>
      </w:r>
      <w:r w:rsidRPr="00CE0424">
        <w:rPr>
          <w:sz w:val="32"/>
          <w:szCs w:val="32"/>
        </w:rPr>
        <w:t>Tdoc R2-</w:t>
      </w:r>
      <w:r w:rsidR="00464B80" w:rsidRPr="00464B80">
        <w:rPr>
          <w:sz w:val="32"/>
          <w:szCs w:val="32"/>
        </w:rPr>
        <w:t>1710508</w:t>
      </w:r>
    </w:p>
    <w:p w14:paraId="0837A79B" w14:textId="364A9260" w:rsidR="004131EE" w:rsidRDefault="00261927" w:rsidP="004131EE">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4131EE">
        <w:tab/>
      </w:r>
    </w:p>
    <w:p w14:paraId="675033A1" w14:textId="77777777" w:rsidR="004D35CA" w:rsidRPr="0040036A" w:rsidRDefault="004D35CA" w:rsidP="004D35CA">
      <w:pPr>
        <w:pStyle w:val="3GPPHeader"/>
      </w:pPr>
    </w:p>
    <w:p w14:paraId="0AD9A872" w14:textId="35B52CC8" w:rsidR="004D35CA" w:rsidRPr="00956F13" w:rsidRDefault="004D35CA" w:rsidP="004D35CA">
      <w:pPr>
        <w:pStyle w:val="3GPPHeader"/>
        <w:rPr>
          <w:sz w:val="22"/>
          <w:szCs w:val="22"/>
          <w:lang w:val="en-US"/>
        </w:rPr>
      </w:pPr>
      <w:r w:rsidRPr="0040036A">
        <w:rPr>
          <w:sz w:val="22"/>
          <w:szCs w:val="22"/>
          <w:lang w:val="en-US"/>
        </w:rPr>
        <w:t>Agenda Item:</w:t>
      </w:r>
      <w:r w:rsidRPr="0040036A">
        <w:rPr>
          <w:sz w:val="22"/>
          <w:szCs w:val="22"/>
          <w:lang w:val="en-US"/>
        </w:rPr>
        <w:tab/>
      </w:r>
      <w:r w:rsidR="00464B80" w:rsidRPr="00464B80">
        <w:rPr>
          <w:sz w:val="22"/>
          <w:szCs w:val="22"/>
          <w:lang w:val="en-US"/>
        </w:rPr>
        <w:t>10.2.5</w:t>
      </w:r>
    </w:p>
    <w:p w14:paraId="5B1FC1AE" w14:textId="77777777" w:rsidR="004D35CA" w:rsidRPr="008C7695" w:rsidRDefault="004D35CA" w:rsidP="004D35CA">
      <w:pPr>
        <w:pStyle w:val="3GPPHeader"/>
        <w:rPr>
          <w:sz w:val="22"/>
          <w:szCs w:val="22"/>
        </w:rPr>
      </w:pPr>
      <w:r w:rsidRPr="008C7695">
        <w:rPr>
          <w:sz w:val="22"/>
          <w:szCs w:val="22"/>
        </w:rPr>
        <w:t>Source:</w:t>
      </w:r>
      <w:r w:rsidRPr="008C7695">
        <w:rPr>
          <w:sz w:val="22"/>
          <w:szCs w:val="22"/>
        </w:rPr>
        <w:tab/>
        <w:t>Ericsson</w:t>
      </w:r>
    </w:p>
    <w:p w14:paraId="0C80F3BD" w14:textId="23FAE017" w:rsidR="002D5FB1" w:rsidRPr="008C7695" w:rsidRDefault="002D5FB1" w:rsidP="002D5FB1">
      <w:pPr>
        <w:pStyle w:val="3GPPHeader"/>
        <w:rPr>
          <w:sz w:val="22"/>
          <w:szCs w:val="22"/>
        </w:rPr>
      </w:pPr>
      <w:r w:rsidRPr="008C7695">
        <w:rPr>
          <w:sz w:val="22"/>
          <w:szCs w:val="22"/>
        </w:rPr>
        <w:t>Title:</w:t>
      </w:r>
      <w:r w:rsidRPr="008C7695">
        <w:rPr>
          <w:sz w:val="22"/>
          <w:szCs w:val="22"/>
        </w:rPr>
        <w:tab/>
      </w:r>
      <w:r w:rsidR="002D0D7C">
        <w:rPr>
          <w:sz w:val="22"/>
          <w:szCs w:val="22"/>
        </w:rPr>
        <w:t xml:space="preserve">Discussion on the </w:t>
      </w:r>
      <w:bookmarkStart w:id="0" w:name="_Hlk488532152"/>
      <w:r w:rsidR="000B3E93">
        <w:rPr>
          <w:sz w:val="22"/>
          <w:szCs w:val="22"/>
        </w:rPr>
        <w:t>SCG change procedure</w:t>
      </w:r>
      <w:bookmarkStart w:id="1" w:name="_GoBack"/>
      <w:bookmarkEnd w:id="1"/>
    </w:p>
    <w:bookmarkEnd w:id="0"/>
    <w:p w14:paraId="4A134FFC" w14:textId="77777777" w:rsidR="002D5FB1" w:rsidRPr="008C7695" w:rsidRDefault="002D5FB1" w:rsidP="002D5FB1">
      <w:pPr>
        <w:pStyle w:val="3GPPHeader"/>
        <w:rPr>
          <w:sz w:val="22"/>
          <w:szCs w:val="22"/>
        </w:rPr>
      </w:pPr>
      <w:r w:rsidRPr="008C7695">
        <w:rPr>
          <w:sz w:val="22"/>
          <w:szCs w:val="22"/>
        </w:rPr>
        <w:t>Document for:</w:t>
      </w:r>
      <w:r w:rsidRPr="008C7695">
        <w:rPr>
          <w:sz w:val="22"/>
          <w:szCs w:val="22"/>
        </w:rPr>
        <w:tab/>
        <w:t>Discussion, Decision</w:t>
      </w:r>
    </w:p>
    <w:p w14:paraId="61F04FF9" w14:textId="77777777" w:rsidR="002D5FB1" w:rsidRPr="008C7695" w:rsidRDefault="002D5FB1" w:rsidP="002D5FB1"/>
    <w:p w14:paraId="5B38E84F" w14:textId="77777777" w:rsidR="002D5FB1" w:rsidRPr="008C7695" w:rsidRDefault="002D5FB1" w:rsidP="002D5FB1">
      <w:pPr>
        <w:pStyle w:val="Heading1"/>
        <w:numPr>
          <w:ilvl w:val="0"/>
          <w:numId w:val="16"/>
        </w:numPr>
        <w:textAlignment w:val="auto"/>
      </w:pPr>
      <w:r w:rsidRPr="008C7695">
        <w:t>Introduction</w:t>
      </w:r>
    </w:p>
    <w:p w14:paraId="70F2FC04" w14:textId="09172CEE" w:rsidR="00E61497" w:rsidRDefault="007F0921" w:rsidP="007F0921">
      <w:pPr>
        <w:pStyle w:val="BodyText"/>
        <w:rPr>
          <w:rFonts w:cs="Arial"/>
          <w:lang w:val="en-US"/>
        </w:rPr>
      </w:pPr>
      <w:r w:rsidRPr="00BF74FD">
        <w:rPr>
          <w:rFonts w:cs="Arial"/>
          <w:lang w:val="en-US"/>
        </w:rPr>
        <w:t>I</w:t>
      </w:r>
      <w:r>
        <w:rPr>
          <w:rFonts w:cs="Arial"/>
          <w:lang w:val="en-US"/>
        </w:rPr>
        <w:t>n this contribution, we will be discussing</w:t>
      </w:r>
      <w:r w:rsidRPr="00BF74FD">
        <w:rPr>
          <w:rFonts w:cs="Arial"/>
          <w:lang w:val="en-US"/>
        </w:rPr>
        <w:t xml:space="preserve"> the</w:t>
      </w:r>
      <w:r>
        <w:rPr>
          <w:rFonts w:cs="Arial"/>
          <w:lang w:val="en-US"/>
        </w:rPr>
        <w:t xml:space="preserve"> remaining issues regarding</w:t>
      </w:r>
      <w:r w:rsidRPr="00BF74FD">
        <w:rPr>
          <w:rFonts w:cs="Arial"/>
          <w:lang w:val="en-US"/>
        </w:rPr>
        <w:t xml:space="preserve"> </w:t>
      </w:r>
      <w:r>
        <w:rPr>
          <w:rFonts w:cs="Arial"/>
          <w:lang w:val="en-US"/>
        </w:rPr>
        <w:t xml:space="preserve">SCG modification procedure particularly focusing on the SCG change aspects for NR cases i.e., further details on the MR-DC cases (at least for EN-DC). Agreements on </w:t>
      </w:r>
      <w:r w:rsidRPr="009E2BB8">
        <w:rPr>
          <w:rFonts w:cs="Arial"/>
          <w:lang w:val="en-US"/>
        </w:rPr>
        <w:t>LTE-NR interworking</w:t>
      </w:r>
      <w:r>
        <w:rPr>
          <w:rFonts w:cs="Arial"/>
          <w:lang w:val="en-US"/>
        </w:rPr>
        <w:t xml:space="preserve"> procedures from </w:t>
      </w:r>
      <w:r w:rsidR="00BF74FD">
        <w:rPr>
          <w:rFonts w:cs="Arial"/>
          <w:lang w:val="en-US"/>
        </w:rPr>
        <w:t>RAN2-NR-AH#2</w:t>
      </w:r>
      <w:r>
        <w:rPr>
          <w:rFonts w:cs="Arial"/>
          <w:lang w:val="en-US"/>
        </w:rPr>
        <w:t xml:space="preserve"> are captured in </w:t>
      </w:r>
      <w:r w:rsidR="006E13E0">
        <w:rPr>
          <w:rFonts w:cs="Arial"/>
          <w:lang w:val="en-US"/>
        </w:rPr>
        <w:t xml:space="preserve">the </w:t>
      </w:r>
      <w:r>
        <w:rPr>
          <w:rFonts w:cs="Arial"/>
          <w:lang w:val="en-US"/>
        </w:rPr>
        <w:t xml:space="preserve">Annex. </w:t>
      </w:r>
    </w:p>
    <w:p w14:paraId="3624DC25" w14:textId="485109F6" w:rsidR="002D5FB1" w:rsidRPr="001952C1" w:rsidRDefault="002D5FB1" w:rsidP="002D5FB1">
      <w:pPr>
        <w:pStyle w:val="Heading1"/>
        <w:numPr>
          <w:ilvl w:val="0"/>
          <w:numId w:val="16"/>
        </w:numPr>
        <w:textAlignment w:val="auto"/>
        <w:rPr>
          <w:i/>
        </w:rPr>
      </w:pPr>
      <w:bookmarkStart w:id="2" w:name="_Ref178064866"/>
      <w:r w:rsidRPr="002849FE">
        <w:t>Discussion</w:t>
      </w:r>
      <w:bookmarkEnd w:id="2"/>
    </w:p>
    <w:p w14:paraId="32D8C69F" w14:textId="6BBCC0CF" w:rsidR="001369AA" w:rsidRDefault="00F50A2D" w:rsidP="009314F6">
      <w:pPr>
        <w:rPr>
          <w:lang w:val="en-US"/>
        </w:rPr>
      </w:pPr>
      <w:r>
        <w:rPr>
          <w:lang w:val="en-US"/>
        </w:rPr>
        <w:t>SCG change procedure</w:t>
      </w:r>
      <w:r w:rsidRPr="00F50A2D">
        <w:rPr>
          <w:lang w:val="en-US"/>
        </w:rPr>
        <w:t xml:space="preserve"> refers to a synchronous </w:t>
      </w:r>
      <w:r w:rsidR="00DF4E9E">
        <w:rPr>
          <w:lang w:val="en-US"/>
        </w:rPr>
        <w:t>SN modification</w:t>
      </w:r>
      <w:r w:rsidRPr="00F50A2D">
        <w:rPr>
          <w:lang w:val="en-US"/>
        </w:rPr>
        <w:t xml:space="preserve"> procedure towards the UE involving random access on PSCell. This procedure is used to establish SCG, and can be used to reconfigure the SCG configuration. </w:t>
      </w:r>
      <w:r w:rsidR="00DF4E9E">
        <w:rPr>
          <w:lang w:val="en-US"/>
        </w:rPr>
        <w:t xml:space="preserve">Since SCG change procedure is not </w:t>
      </w:r>
      <w:r w:rsidR="0092167F">
        <w:rPr>
          <w:lang w:val="en-US"/>
        </w:rPr>
        <w:t xml:space="preserve">fully </w:t>
      </w:r>
      <w:r w:rsidR="00DF4E9E">
        <w:rPr>
          <w:lang w:val="en-US"/>
        </w:rPr>
        <w:t>defined for NR cases in details e.g., whether PDCP re-establishment is needed or not</w:t>
      </w:r>
      <w:r w:rsidR="00D07A46">
        <w:rPr>
          <w:lang w:val="en-US"/>
        </w:rPr>
        <w:t xml:space="preserve"> and how different cases are</w:t>
      </w:r>
      <w:r w:rsidR="00622531">
        <w:rPr>
          <w:lang w:val="en-US"/>
        </w:rPr>
        <w:t xml:space="preserve"> to be</w:t>
      </w:r>
      <w:r w:rsidR="00D07A46">
        <w:rPr>
          <w:lang w:val="en-US"/>
        </w:rPr>
        <w:t xml:space="preserve"> called</w:t>
      </w:r>
      <w:r w:rsidR="00DF4E9E">
        <w:rPr>
          <w:lang w:val="en-US"/>
        </w:rPr>
        <w:t xml:space="preserve">, </w:t>
      </w:r>
      <w:r w:rsidR="0092167F">
        <w:rPr>
          <w:lang w:val="en-US"/>
        </w:rPr>
        <w:t>we prefer to use instead “</w:t>
      </w:r>
      <w:r w:rsidR="0092167F" w:rsidRPr="00F50A2D">
        <w:rPr>
          <w:lang w:val="en-US"/>
        </w:rPr>
        <w:t xml:space="preserve">synchronous </w:t>
      </w:r>
      <w:r w:rsidR="0092167F">
        <w:rPr>
          <w:lang w:val="en-US"/>
        </w:rPr>
        <w:t>SN modification</w:t>
      </w:r>
      <w:r w:rsidR="0092167F" w:rsidRPr="00F50A2D">
        <w:rPr>
          <w:lang w:val="en-US"/>
        </w:rPr>
        <w:t xml:space="preserve"> procedure</w:t>
      </w:r>
      <w:r w:rsidR="0092167F">
        <w:rPr>
          <w:lang w:val="en-US"/>
        </w:rPr>
        <w:t>” in the remainder of the text to remove ambiguity.</w:t>
      </w:r>
    </w:p>
    <w:p w14:paraId="02D7B1DB" w14:textId="7252068F" w:rsidR="001369AA" w:rsidRDefault="001369AA" w:rsidP="009314F6">
      <w:pPr>
        <w:rPr>
          <w:lang w:val="en-US"/>
        </w:rPr>
      </w:pPr>
      <w:r>
        <w:rPr>
          <w:lang w:val="en-US"/>
        </w:rPr>
        <w:t>As specified for LTE DC</w:t>
      </w:r>
      <w:r w:rsidR="00B51775">
        <w:rPr>
          <w:lang w:val="en-US"/>
        </w:rPr>
        <w:t xml:space="preserve"> </w:t>
      </w:r>
      <w:r w:rsidR="00B51775">
        <w:rPr>
          <w:lang w:val="en-US"/>
        </w:rPr>
        <w:fldChar w:fldCharType="begin"/>
      </w:r>
      <w:r w:rsidR="00B51775">
        <w:rPr>
          <w:lang w:val="en-US"/>
        </w:rPr>
        <w:instrText xml:space="preserve"> REF _Ref489812794 \r \h </w:instrText>
      </w:r>
      <w:r w:rsidR="00B51775">
        <w:rPr>
          <w:lang w:val="en-US"/>
        </w:rPr>
      </w:r>
      <w:r w:rsidR="00B51775">
        <w:rPr>
          <w:lang w:val="en-US"/>
        </w:rPr>
        <w:fldChar w:fldCharType="separate"/>
      </w:r>
      <w:r w:rsidR="00DF4E9E">
        <w:rPr>
          <w:lang w:val="en-US"/>
        </w:rPr>
        <w:t>[1]</w:t>
      </w:r>
      <w:r w:rsidR="00B51775">
        <w:rPr>
          <w:lang w:val="en-US"/>
        </w:rPr>
        <w:fldChar w:fldCharType="end"/>
      </w:r>
      <w:r>
        <w:rPr>
          <w:lang w:val="en-US"/>
        </w:rPr>
        <w:t xml:space="preserve"> and agreed for </w:t>
      </w:r>
      <w:r w:rsidR="00FC47EC">
        <w:rPr>
          <w:lang w:val="en-US"/>
        </w:rPr>
        <w:t xml:space="preserve">at least </w:t>
      </w:r>
      <w:r>
        <w:rPr>
          <w:lang w:val="en-US"/>
        </w:rPr>
        <w:t>EN-DC</w:t>
      </w:r>
      <w:r w:rsidR="00DF4E9E">
        <w:rPr>
          <w:lang w:val="en-US"/>
        </w:rPr>
        <w:t xml:space="preserve"> </w:t>
      </w:r>
      <w:r w:rsidR="00DF4E9E">
        <w:rPr>
          <w:lang w:val="en-US"/>
        </w:rPr>
        <w:fldChar w:fldCharType="begin"/>
      </w:r>
      <w:r w:rsidR="00DF4E9E">
        <w:rPr>
          <w:lang w:val="en-US"/>
        </w:rPr>
        <w:instrText xml:space="preserve"> REF _Ref490242686 \r \h </w:instrText>
      </w:r>
      <w:r w:rsidR="00DF4E9E">
        <w:rPr>
          <w:lang w:val="en-US"/>
        </w:rPr>
      </w:r>
      <w:r w:rsidR="00DF4E9E">
        <w:rPr>
          <w:lang w:val="en-US"/>
        </w:rPr>
        <w:fldChar w:fldCharType="separate"/>
      </w:r>
      <w:r w:rsidR="00DF4E9E">
        <w:rPr>
          <w:lang w:val="en-US"/>
        </w:rPr>
        <w:t>[2]</w:t>
      </w:r>
      <w:r w:rsidR="00DF4E9E">
        <w:rPr>
          <w:lang w:val="en-US"/>
        </w:rPr>
        <w:fldChar w:fldCharType="end"/>
      </w:r>
      <w:r w:rsidR="00B51775">
        <w:rPr>
          <w:lang w:val="en-US"/>
        </w:rPr>
        <w:fldChar w:fldCharType="begin"/>
      </w:r>
      <w:r w:rsidR="00B51775">
        <w:rPr>
          <w:lang w:val="en-US"/>
        </w:rPr>
        <w:instrText xml:space="preserve"> REF _Ref488531688 \r \h </w:instrText>
      </w:r>
      <w:r w:rsidR="00B51775">
        <w:rPr>
          <w:lang w:val="en-US"/>
        </w:rPr>
      </w:r>
      <w:r w:rsidR="00B51775">
        <w:rPr>
          <w:lang w:val="en-US"/>
        </w:rPr>
        <w:fldChar w:fldCharType="end"/>
      </w:r>
      <w:r>
        <w:rPr>
          <w:lang w:val="en-US"/>
        </w:rPr>
        <w:t>, d</w:t>
      </w:r>
      <w:r w:rsidR="00F50A2D" w:rsidRPr="00F50A2D">
        <w:rPr>
          <w:lang w:val="en-US"/>
        </w:rPr>
        <w:t xml:space="preserve">uring </w:t>
      </w:r>
      <w:r w:rsidR="006E13E0" w:rsidRPr="00F50A2D">
        <w:rPr>
          <w:lang w:val="en-US"/>
        </w:rPr>
        <w:t xml:space="preserve">synchronous </w:t>
      </w:r>
      <w:r w:rsidR="006E13E0">
        <w:rPr>
          <w:lang w:val="en-US"/>
        </w:rPr>
        <w:t>SN modification</w:t>
      </w:r>
      <w:r w:rsidR="006E13E0" w:rsidRPr="00F50A2D">
        <w:rPr>
          <w:lang w:val="en-US"/>
        </w:rPr>
        <w:t xml:space="preserve"> procedure</w:t>
      </w:r>
      <w:r w:rsidR="00F50A2D" w:rsidRPr="00F50A2D">
        <w:rPr>
          <w:lang w:val="en-US"/>
        </w:rPr>
        <w:t xml:space="preserve">, MAC configured for SCG is reset and RLC configured for SCG is re-established regardless of the bearer type(s) established on SCG. </w:t>
      </w:r>
      <w:r>
        <w:rPr>
          <w:lang w:val="en-US"/>
        </w:rPr>
        <w:t>On the other hand, PDCP may not always need to be re-established as in LTE-DC considering that NR cell change may not always require key change and PDCP re-establishment thereof.</w:t>
      </w:r>
    </w:p>
    <w:p w14:paraId="12BBE609" w14:textId="27C38058" w:rsidR="008476DA" w:rsidRDefault="008476DA" w:rsidP="008476DA">
      <w:pPr>
        <w:pStyle w:val="Observation"/>
        <w:rPr>
          <w:lang w:val="en-US"/>
        </w:rPr>
      </w:pPr>
      <w:r>
        <w:rPr>
          <w:lang w:val="en-US"/>
        </w:rPr>
        <w:t>NR cell change may not always require key change and PDCP re-establishment thereof.</w:t>
      </w:r>
    </w:p>
    <w:p w14:paraId="7BEE5C04" w14:textId="518A6087" w:rsidR="00B0748A" w:rsidRDefault="00B0748A" w:rsidP="00B0748A">
      <w:pPr>
        <w:tabs>
          <w:tab w:val="left" w:pos="567"/>
        </w:tabs>
        <w:overflowPunct/>
        <w:autoSpaceDE/>
        <w:autoSpaceDN/>
        <w:adjustRightInd/>
        <w:spacing w:after="0"/>
        <w:jc w:val="left"/>
        <w:textAlignment w:val="auto"/>
        <w:rPr>
          <w:lang w:val="en-US"/>
        </w:rPr>
      </w:pPr>
      <w:r>
        <w:rPr>
          <w:lang w:val="en-US"/>
        </w:rPr>
        <w:t>I</w:t>
      </w:r>
      <w:r w:rsidR="00B51775">
        <w:rPr>
          <w:lang w:val="en-US"/>
        </w:rPr>
        <w:t xml:space="preserve">n RAN2-NR-AH2 </w:t>
      </w:r>
      <w:r>
        <w:rPr>
          <w:lang w:val="en-US"/>
        </w:rPr>
        <w:t>the following a</w:t>
      </w:r>
      <w:r w:rsidRPr="00B0748A">
        <w:rPr>
          <w:lang w:val="en-US"/>
        </w:rPr>
        <w:t xml:space="preserve">greements </w:t>
      </w:r>
      <w:r>
        <w:rPr>
          <w:lang w:val="en-US"/>
        </w:rPr>
        <w:t xml:space="preserve">were </w:t>
      </w:r>
      <w:r w:rsidRPr="00B0748A">
        <w:rPr>
          <w:lang w:val="en-US"/>
        </w:rPr>
        <w:t>related to SCG cell related parameters (at least for EN-DC)</w:t>
      </w:r>
      <w:r>
        <w:rPr>
          <w:lang w:val="en-US"/>
        </w:rPr>
        <w:t>:</w:t>
      </w:r>
    </w:p>
    <w:p w14:paraId="331244EE" w14:textId="77777777" w:rsidR="00B0748A" w:rsidRPr="00B0748A" w:rsidRDefault="00B0748A" w:rsidP="00B0748A">
      <w:pPr>
        <w:tabs>
          <w:tab w:val="left" w:pos="567"/>
        </w:tabs>
        <w:overflowPunct/>
        <w:autoSpaceDE/>
        <w:autoSpaceDN/>
        <w:adjustRightInd/>
        <w:spacing w:after="0"/>
        <w:jc w:val="left"/>
        <w:textAlignment w:val="auto"/>
        <w:rPr>
          <w:rFonts w:eastAsia="MS Mincho" w:cs="Arial"/>
          <w:szCs w:val="24"/>
          <w:lang w:eastAsia="en-US"/>
        </w:rPr>
      </w:pPr>
    </w:p>
    <w:p w14:paraId="5F26D80E" w14:textId="77777777" w:rsidR="00B0748A" w:rsidRPr="00B0748A" w:rsidRDefault="00B0748A" w:rsidP="00B0748A">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eastAsia="en-US"/>
        </w:rPr>
      </w:pPr>
      <w:r w:rsidRPr="00B0748A">
        <w:rPr>
          <w:rFonts w:eastAsia="MS Mincho" w:cs="Arial"/>
          <w:szCs w:val="24"/>
          <w:lang w:eastAsia="en-US"/>
        </w:rPr>
        <w:t>1</w:t>
      </w:r>
      <w:r w:rsidRPr="00B0748A">
        <w:rPr>
          <w:rFonts w:eastAsia="MS Mincho" w:cs="Arial"/>
          <w:szCs w:val="24"/>
          <w:lang w:eastAsia="en-US"/>
        </w:rPr>
        <w:tab/>
        <w:t>RAN2 confirm that MN only initiates SN addition/ release i.e. that MN initiated SCG addition/ release is not supported</w:t>
      </w:r>
    </w:p>
    <w:p w14:paraId="703B6CA6" w14:textId="77777777" w:rsidR="00B0748A" w:rsidRPr="00B0748A" w:rsidRDefault="00B0748A" w:rsidP="00B0748A">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eastAsia="en-US"/>
        </w:rPr>
      </w:pPr>
      <w:r w:rsidRPr="00B0748A">
        <w:rPr>
          <w:rFonts w:eastAsia="MS Mincho" w:cs="Arial"/>
          <w:szCs w:val="24"/>
          <w:lang w:eastAsia="en-US"/>
        </w:rPr>
        <w:t>2.1</w:t>
      </w:r>
      <w:r w:rsidRPr="00B0748A">
        <w:rPr>
          <w:rFonts w:eastAsia="MS Mincho" w:cs="Arial"/>
          <w:szCs w:val="24"/>
          <w:lang w:eastAsia="en-US"/>
        </w:rPr>
        <w:tab/>
        <w:t>(At SN addition) MN provides measurement results rather than explicitly indicating the SCG cell to be added</w:t>
      </w:r>
    </w:p>
    <w:p w14:paraId="32C40BCD" w14:textId="77777777" w:rsidR="00B0748A" w:rsidRPr="00B0748A" w:rsidRDefault="00B0748A" w:rsidP="00B0748A">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eastAsia="en-US"/>
        </w:rPr>
      </w:pPr>
      <w:r w:rsidRPr="00B0748A">
        <w:rPr>
          <w:rFonts w:eastAsia="MS Mincho" w:cs="Arial"/>
          <w:szCs w:val="24"/>
          <w:lang w:eastAsia="en-US"/>
        </w:rPr>
        <w:t>2.2</w:t>
      </w:r>
      <w:r w:rsidRPr="00B0748A">
        <w:rPr>
          <w:rFonts w:eastAsia="MS Mincho" w:cs="Arial"/>
          <w:szCs w:val="24"/>
          <w:lang w:eastAsia="en-US"/>
        </w:rPr>
        <w:tab/>
        <w:t>No further SCG cell related parameters(beyond the measurements) need to be exchanged (i.e. no need for inter-node signalling regarding SCG cell addition assuming UE capability related info is indicated differently)</w:t>
      </w:r>
    </w:p>
    <w:p w14:paraId="260575BD" w14:textId="77777777" w:rsidR="00B0748A" w:rsidRPr="00B0748A" w:rsidRDefault="00B0748A" w:rsidP="00B0748A">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eastAsia="en-US"/>
        </w:rPr>
      </w:pPr>
      <w:r w:rsidRPr="00B0748A">
        <w:rPr>
          <w:rFonts w:eastAsia="MS Mincho" w:cs="Arial"/>
          <w:szCs w:val="24"/>
          <w:lang w:eastAsia="en-US"/>
        </w:rPr>
        <w:t>3</w:t>
      </w:r>
      <w:r w:rsidRPr="00B0748A">
        <w:rPr>
          <w:rFonts w:eastAsia="MS Mincho" w:cs="Arial"/>
          <w:szCs w:val="24"/>
          <w:lang w:eastAsia="en-US"/>
        </w:rPr>
        <w:tab/>
        <w:t>Measurement results provided by MN to SN at SN addition are specified by RRC (inter node message). FFS whether encoding of measurements is defined in NR or LTE RRC.</w:t>
      </w:r>
    </w:p>
    <w:p w14:paraId="3A82AB54" w14:textId="77777777" w:rsidR="00B0748A" w:rsidRPr="00B0748A" w:rsidRDefault="00B0748A" w:rsidP="00B0748A">
      <w:pPr>
        <w:tabs>
          <w:tab w:val="left" w:pos="567"/>
        </w:tabs>
        <w:overflowPunct/>
        <w:autoSpaceDE/>
        <w:autoSpaceDN/>
        <w:adjustRightInd/>
        <w:spacing w:after="0"/>
        <w:jc w:val="left"/>
        <w:textAlignment w:val="auto"/>
        <w:rPr>
          <w:rFonts w:eastAsia="MS Mincho" w:cs="Arial"/>
          <w:szCs w:val="24"/>
          <w:lang w:eastAsia="en-US"/>
        </w:rPr>
      </w:pPr>
    </w:p>
    <w:p w14:paraId="05B41AD8" w14:textId="2B66C2BA" w:rsidR="008476DA" w:rsidRDefault="00B0748A" w:rsidP="009314F6">
      <w:r>
        <w:rPr>
          <w:lang w:val="en-US"/>
        </w:rPr>
        <w:t>W</w:t>
      </w:r>
      <w:r w:rsidR="007E0BE5">
        <w:rPr>
          <w:lang w:val="en-US"/>
        </w:rPr>
        <w:t>hen the agreement</w:t>
      </w:r>
      <w:r>
        <w:rPr>
          <w:lang w:val="en-US"/>
        </w:rPr>
        <w:t xml:space="preserve"> 1 </w:t>
      </w:r>
      <w:r w:rsidR="007E0BE5">
        <w:rPr>
          <w:lang w:val="en-US"/>
        </w:rPr>
        <w:t>above is considered</w:t>
      </w:r>
      <w:r>
        <w:rPr>
          <w:lang w:val="en-US"/>
        </w:rPr>
        <w:t>, it is understood that</w:t>
      </w:r>
      <w:r w:rsidR="007E0BE5">
        <w:rPr>
          <w:lang w:val="en-US"/>
        </w:rPr>
        <w:t xml:space="preserve"> in case of </w:t>
      </w:r>
      <w:r w:rsidR="006E13E0">
        <w:rPr>
          <w:lang w:val="en-US"/>
        </w:rPr>
        <w:t>PSCell</w:t>
      </w:r>
      <w:r w:rsidR="007E0BE5">
        <w:rPr>
          <w:lang w:val="en-US"/>
        </w:rPr>
        <w:t xml:space="preserve"> change</w:t>
      </w:r>
      <w:r>
        <w:rPr>
          <w:lang w:val="en-US"/>
        </w:rPr>
        <w:t xml:space="preserve"> MN can only initiate </w:t>
      </w:r>
      <w:r w:rsidR="007E0BE5">
        <w:rPr>
          <w:lang w:val="en-US"/>
        </w:rPr>
        <w:t xml:space="preserve">the </w:t>
      </w:r>
      <w:r>
        <w:rPr>
          <w:lang w:val="en-US"/>
        </w:rPr>
        <w:t xml:space="preserve">SN change but cannot </w:t>
      </w:r>
      <w:r w:rsidR="007E0BE5">
        <w:rPr>
          <w:lang w:val="en-US"/>
        </w:rPr>
        <w:t>indicate an SCG cell to be added or released. However, it is not clear whether the agreement 2.1 refers to the SN addition procedure or simply addition of an SN in case of both SN addition and SN change procedures.</w:t>
      </w:r>
      <w:r w:rsidR="00B51775" w:rsidRPr="00B51775">
        <w:t xml:space="preserve"> </w:t>
      </w:r>
      <w:r w:rsidR="007E0BE5">
        <w:t>F</w:t>
      </w:r>
      <w:r w:rsidR="00B51775" w:rsidRPr="00B51775">
        <w:t xml:space="preserve">or the sake of clarity, it should be </w:t>
      </w:r>
      <w:r w:rsidR="007E0BE5">
        <w:t>confirmed</w:t>
      </w:r>
      <w:r w:rsidR="00B51775" w:rsidRPr="00B51775">
        <w:t xml:space="preserve"> that t</w:t>
      </w:r>
      <w:r w:rsidR="00B936D2">
        <w:t>he M</w:t>
      </w:r>
      <w:r w:rsidR="00B51775" w:rsidRPr="00B51775">
        <w:t xml:space="preserve">N provides the latest measurement results for </w:t>
      </w:r>
      <w:r w:rsidR="00B936D2">
        <w:rPr>
          <w:color w:val="000000"/>
          <w:lang w:val="en-US" w:eastAsia="it-IT"/>
        </w:rPr>
        <w:t>S</w:t>
      </w:r>
      <w:r w:rsidR="00B51775" w:rsidRPr="00B51775">
        <w:rPr>
          <w:color w:val="000000"/>
          <w:lang w:val="en-US" w:eastAsia="it-IT"/>
        </w:rPr>
        <w:t xml:space="preserve">N to choose and configure </w:t>
      </w:r>
      <w:r w:rsidR="00B51775" w:rsidRPr="00B51775">
        <w:t>the SCG cell(s) for the S</w:t>
      </w:r>
      <w:r w:rsidR="00297E0A">
        <w:t>N</w:t>
      </w:r>
      <w:r w:rsidR="00B51775" w:rsidRPr="00B51775">
        <w:t xml:space="preserve"> change as well. </w:t>
      </w:r>
      <w:r w:rsidR="00FC47EC" w:rsidRPr="00B51775">
        <w:lastRenderedPageBreak/>
        <w:t xml:space="preserve">Accordingly, SCG configuration information sent by SN to MN would include the </w:t>
      </w:r>
      <w:r w:rsidR="00B51775" w:rsidRPr="00B51775">
        <w:t>chosen SCG cell(s)</w:t>
      </w:r>
      <w:r w:rsidR="00FC47EC" w:rsidRPr="00B51775">
        <w:t xml:space="preserve"> </w:t>
      </w:r>
      <w:r w:rsidR="00B51775" w:rsidRPr="00B51775">
        <w:t>and relevant configuration</w:t>
      </w:r>
      <w:r w:rsidR="00FC47EC" w:rsidRPr="00B51775">
        <w:t xml:space="preserve">. </w:t>
      </w:r>
    </w:p>
    <w:p w14:paraId="100E980E" w14:textId="7BB349D7" w:rsidR="008963B9" w:rsidRPr="00B51775" w:rsidRDefault="008963B9" w:rsidP="008963B9">
      <w:pPr>
        <w:pStyle w:val="Proposal"/>
        <w:rPr>
          <w:lang w:val="en-US"/>
        </w:rPr>
      </w:pPr>
      <w:r w:rsidRPr="00B51775">
        <w:t xml:space="preserve">For the sake of clarity, it should be </w:t>
      </w:r>
      <w:r w:rsidR="007E0BE5">
        <w:t>confirmed</w:t>
      </w:r>
      <w:r w:rsidRPr="00B51775">
        <w:t xml:space="preserve"> that</w:t>
      </w:r>
      <w:r>
        <w:t xml:space="preserve"> at least for EN-DC</w:t>
      </w:r>
      <w:r w:rsidRPr="00B51775">
        <w:t xml:space="preserve"> t</w:t>
      </w:r>
      <w:r>
        <w:t>he M</w:t>
      </w:r>
      <w:r w:rsidRPr="00B51775">
        <w:t xml:space="preserve">N provides the latest measurement results for </w:t>
      </w:r>
      <w:r>
        <w:rPr>
          <w:color w:val="000000"/>
          <w:lang w:val="en-US" w:eastAsia="it-IT"/>
        </w:rPr>
        <w:t>SN</w:t>
      </w:r>
      <w:r w:rsidRPr="00B51775">
        <w:rPr>
          <w:color w:val="000000"/>
          <w:lang w:val="en-US" w:eastAsia="it-IT"/>
        </w:rPr>
        <w:t xml:space="preserve"> to choose and configure </w:t>
      </w:r>
      <w:r w:rsidRPr="00B51775">
        <w:t xml:space="preserve">the SCG cell(s) for </w:t>
      </w:r>
      <w:r w:rsidR="007E0BE5">
        <w:t xml:space="preserve">both </w:t>
      </w:r>
      <w:r w:rsidRPr="00B51775">
        <w:t>the S</w:t>
      </w:r>
      <w:r w:rsidR="00297E0A">
        <w:t>N</w:t>
      </w:r>
      <w:r w:rsidRPr="00B51775">
        <w:t xml:space="preserve"> </w:t>
      </w:r>
      <w:r w:rsidR="007E0BE5">
        <w:t xml:space="preserve">addition and </w:t>
      </w:r>
      <w:r w:rsidR="00D479E4">
        <w:t xml:space="preserve">SN </w:t>
      </w:r>
      <w:r w:rsidRPr="00B51775">
        <w:t>change</w:t>
      </w:r>
      <w:r w:rsidR="0029477C">
        <w:t xml:space="preserve"> procedure</w:t>
      </w:r>
      <w:r w:rsidR="007E0BE5">
        <w:t>s</w:t>
      </w:r>
      <w:r w:rsidRPr="00B51775">
        <w:t>.</w:t>
      </w:r>
    </w:p>
    <w:p w14:paraId="776925D7" w14:textId="7F5A14BA" w:rsidR="009314F6" w:rsidRDefault="00B0748A" w:rsidP="009314F6">
      <w:r>
        <w:t>Another open issue</w:t>
      </w:r>
      <w:r w:rsidR="00166CCC">
        <w:t xml:space="preserve"> in </w:t>
      </w:r>
      <w:r w:rsidR="00166CCC">
        <w:fldChar w:fldCharType="begin"/>
      </w:r>
      <w:r w:rsidR="00166CCC">
        <w:instrText xml:space="preserve"> REF _Ref488531688 \r \h </w:instrText>
      </w:r>
      <w:r w:rsidR="00166CCC">
        <w:fldChar w:fldCharType="end"/>
      </w:r>
      <w:r w:rsidR="0012372A">
        <w:fldChar w:fldCharType="begin"/>
      </w:r>
      <w:r w:rsidR="0012372A">
        <w:instrText xml:space="preserve"> REF _Ref490242686 \r \h </w:instrText>
      </w:r>
      <w:r w:rsidR="0012372A">
        <w:fldChar w:fldCharType="separate"/>
      </w:r>
      <w:r w:rsidR="0012372A">
        <w:t>[2]</w:t>
      </w:r>
      <w:r w:rsidR="0012372A">
        <w:fldChar w:fldCharType="end"/>
      </w:r>
      <w:r>
        <w:t xml:space="preserve"> is </w:t>
      </w:r>
      <w:r w:rsidR="007E0BE5">
        <w:t>whether</w:t>
      </w:r>
      <w:r w:rsidR="007E0BE5" w:rsidRPr="007E0BE5">
        <w:t xml:space="preserve"> the SN may initiate </w:t>
      </w:r>
      <w:r w:rsidR="00180F21" w:rsidRPr="00180F21">
        <w:t>synchronous</w:t>
      </w:r>
      <w:r w:rsidR="00252C87">
        <w:t xml:space="preserve"> SN modification</w:t>
      </w:r>
      <w:r w:rsidR="007E0BE5" w:rsidRPr="007E0BE5">
        <w:t xml:space="preserve"> in </w:t>
      </w:r>
      <w:r w:rsidR="0054024D">
        <w:t>S</w:t>
      </w:r>
      <w:r w:rsidR="007E0BE5" w:rsidRPr="007E0BE5">
        <w:t>tep 2</w:t>
      </w:r>
      <w:r w:rsidR="007E0BE5">
        <w:t xml:space="preserve"> of MN-initiated </w:t>
      </w:r>
      <w:r w:rsidR="006F42B0">
        <w:t>SN</w:t>
      </w:r>
      <w:r w:rsidR="007E0BE5">
        <w:t xml:space="preserve"> </w:t>
      </w:r>
      <w:r w:rsidR="006F42B0">
        <w:t xml:space="preserve">modification </w:t>
      </w:r>
      <w:r w:rsidR="00834C18">
        <w:t>procedure</w:t>
      </w:r>
      <w:r w:rsidR="006F42B0">
        <w:t xml:space="preserve"> which is shown in Figure 1</w:t>
      </w:r>
      <w:r w:rsidR="00834C18">
        <w:t>.</w:t>
      </w:r>
      <w:r w:rsidR="007E0BE5">
        <w:t xml:space="preserve"> </w:t>
      </w:r>
      <w:r w:rsidR="00D80E27">
        <w:t>In case of MN-initiated SN modification procedure, there is no obvious benefit of</w:t>
      </w:r>
      <w:r w:rsidR="008E5F64">
        <w:t xml:space="preserve"> </w:t>
      </w:r>
      <w:r w:rsidR="00D80E27">
        <w:t>allowing SN</w:t>
      </w:r>
      <w:r w:rsidR="008E5F64">
        <w:t xml:space="preserve"> </w:t>
      </w:r>
      <w:r w:rsidR="00D80E27">
        <w:t xml:space="preserve">to </w:t>
      </w:r>
      <w:r w:rsidR="008E5F64">
        <w:t xml:space="preserve">consecutively initiate </w:t>
      </w:r>
      <w:r w:rsidR="00180F21" w:rsidRPr="00180F21">
        <w:t>synchronous</w:t>
      </w:r>
      <w:r w:rsidR="00D80E27">
        <w:t xml:space="preserve"> SN modification e.g.,</w:t>
      </w:r>
      <w:r w:rsidR="008E5F64">
        <w:t xml:space="preserve"> DRB type change/security key change</w:t>
      </w:r>
      <w:r w:rsidR="00D80E27">
        <w:t>. On the contrary,</w:t>
      </w:r>
      <w:r w:rsidR="008E5F64">
        <w:t xml:space="preserve"> th</w:t>
      </w:r>
      <w:r w:rsidR="00D80E27">
        <w:t>is</w:t>
      </w:r>
      <w:r w:rsidR="008E5F64">
        <w:t xml:space="preserve"> may </w:t>
      </w:r>
      <w:r w:rsidR="00D80E27">
        <w:t>lead to a p</w:t>
      </w:r>
      <w:r w:rsidR="008E5F64">
        <w:t>otential race c</w:t>
      </w:r>
      <w:r w:rsidR="00D80E27">
        <w:t>onditio</w:t>
      </w:r>
      <w:r w:rsidR="000B7CC3">
        <w:t>n</w:t>
      </w:r>
      <w:r w:rsidR="008E5F64">
        <w:t xml:space="preserve">. Thus, </w:t>
      </w:r>
      <w:r w:rsidR="007E0BE5">
        <w:t>it would be straightforward to assume</w:t>
      </w:r>
      <w:r w:rsidR="0020606F">
        <w:t xml:space="preserve"> a similar behaviour</w:t>
      </w:r>
      <w:r w:rsidR="00D80E27">
        <w:t xml:space="preserve"> for EN-DC</w:t>
      </w:r>
      <w:r w:rsidR="0020606F">
        <w:t xml:space="preserve"> as </w:t>
      </w:r>
      <w:r w:rsidR="00C03554">
        <w:t>defined</w:t>
      </w:r>
      <w:r w:rsidR="0020606F">
        <w:t xml:space="preserve"> in </w:t>
      </w:r>
      <w:r w:rsidR="00037537">
        <w:t>Rel-12 for LTE DC</w:t>
      </w:r>
      <w:r w:rsidR="00131D3B">
        <w:t xml:space="preserve"> where</w:t>
      </w:r>
      <w:r w:rsidR="006105A3">
        <w:t xml:space="preserve"> SN </w:t>
      </w:r>
      <w:r w:rsidR="006F42B0">
        <w:t>is</w:t>
      </w:r>
      <w:r w:rsidR="006105A3">
        <w:t xml:space="preserve"> only able to </w:t>
      </w:r>
      <w:r w:rsidR="008B7F76">
        <w:t>initiate</w:t>
      </w:r>
      <w:r w:rsidR="006105A3">
        <w:t xml:space="preserve"> </w:t>
      </w:r>
      <w:r w:rsidR="00180F21" w:rsidRPr="00180F21">
        <w:t>synchronous</w:t>
      </w:r>
      <w:r w:rsidR="00A4050F">
        <w:t xml:space="preserve"> SN modification</w:t>
      </w:r>
      <w:r w:rsidR="00A4050F" w:rsidRPr="007E0BE5">
        <w:t xml:space="preserve"> </w:t>
      </w:r>
      <w:r w:rsidR="006105A3">
        <w:t xml:space="preserve">after MN-initiated </w:t>
      </w:r>
      <w:r w:rsidR="002124A1">
        <w:t>SN modification</w:t>
      </w:r>
      <w:r w:rsidR="006105A3">
        <w:t xml:space="preserve"> procedure is completed </w:t>
      </w:r>
      <w:r w:rsidR="006F42B0">
        <w:t>(</w:t>
      </w:r>
      <w:r w:rsidR="006105A3">
        <w:t>or rejected</w:t>
      </w:r>
      <w:r w:rsidR="006F42B0">
        <w:t>)</w:t>
      </w:r>
      <w:r w:rsidR="006105A3" w:rsidRPr="008476DA">
        <w:t>.</w:t>
      </w:r>
      <w:r w:rsidR="006105A3">
        <w:t xml:space="preserve"> </w:t>
      </w:r>
      <w:r w:rsidR="0020606F">
        <w:t xml:space="preserve">Yet, </w:t>
      </w:r>
      <w:r w:rsidR="006F42B0">
        <w:t>in</w:t>
      </w:r>
      <w:r w:rsidR="008E5F64">
        <w:t xml:space="preserve"> case of </w:t>
      </w:r>
      <w:r w:rsidR="00180F21" w:rsidRPr="00180F21">
        <w:t>synchronous</w:t>
      </w:r>
      <w:r w:rsidR="006F42B0">
        <w:t xml:space="preserve"> </w:t>
      </w:r>
      <w:r w:rsidR="008E5F64">
        <w:t xml:space="preserve">NR </w:t>
      </w:r>
      <w:r w:rsidR="006F42B0">
        <w:t>PSCell change</w:t>
      </w:r>
      <w:r w:rsidR="008E5F64">
        <w:t xml:space="preserve"> </w:t>
      </w:r>
      <w:r w:rsidR="00601A13">
        <w:t>without</w:t>
      </w:r>
      <w:r w:rsidR="008E5F64">
        <w:t xml:space="preserve"> requiring a key change</w:t>
      </w:r>
      <w:r w:rsidR="0020606F">
        <w:t xml:space="preserve">, then it should be possible that SN can initiate a </w:t>
      </w:r>
      <w:r w:rsidR="00180F21" w:rsidRPr="00180F21">
        <w:t>synchronous</w:t>
      </w:r>
      <w:r w:rsidR="0020606F">
        <w:t xml:space="preserve"> </w:t>
      </w:r>
      <w:r w:rsidR="008E5F64">
        <w:t xml:space="preserve">NR </w:t>
      </w:r>
      <w:r w:rsidR="008B7F76">
        <w:t>PSCell change</w:t>
      </w:r>
      <w:r w:rsidR="006F42B0">
        <w:t xml:space="preserve"> </w:t>
      </w:r>
      <w:r w:rsidR="001F2D34">
        <w:t>by sending MN the PSCell change related configuration in Step 2 of MN-initiated SN modification procedure</w:t>
      </w:r>
      <w:r w:rsidR="006105A3">
        <w:t xml:space="preserve">. </w:t>
      </w:r>
    </w:p>
    <w:p w14:paraId="0B8644DF" w14:textId="352F1EC8" w:rsidR="00FC47EC" w:rsidRPr="00EE3ACE" w:rsidRDefault="00EE3ACE" w:rsidP="00A021A6">
      <w:pPr>
        <w:pStyle w:val="Proposal"/>
        <w:rPr>
          <w:lang w:val="en-US"/>
        </w:rPr>
      </w:pPr>
      <w:r w:rsidRPr="00A021A6">
        <w:t xml:space="preserve">SN can initiate a synchronous </w:t>
      </w:r>
      <w:r w:rsidR="002F26D8">
        <w:t>“</w:t>
      </w:r>
      <w:r w:rsidRPr="00A021A6">
        <w:t>NR PSCell change</w:t>
      </w:r>
      <w:r w:rsidR="002B298E">
        <w:t xml:space="preserve"> without security key change</w:t>
      </w:r>
      <w:r w:rsidR="002F26D8">
        <w:t>”</w:t>
      </w:r>
      <w:r w:rsidRPr="00A021A6">
        <w:t xml:space="preserve"> by sending MN the PSCell change related configuration in Step 2 of </w:t>
      </w:r>
      <w:r w:rsidR="002F26D8">
        <w:t>“</w:t>
      </w:r>
      <w:r w:rsidRPr="00A021A6">
        <w:t>MN-initiated SN modific</w:t>
      </w:r>
      <w:r>
        <w:t>ation procedure</w:t>
      </w:r>
      <w:r w:rsidR="002F26D8">
        <w:t>”</w:t>
      </w:r>
      <w:r>
        <w:t xml:space="preserve">. For the other cases of synchronous SN modification, SN is only able to initiate </w:t>
      </w:r>
      <w:r w:rsidR="002F26D8">
        <w:t>“</w:t>
      </w:r>
      <w:r w:rsidR="00A021A6" w:rsidRPr="00A021A6">
        <w:t>synchronous SN modification</w:t>
      </w:r>
      <w:r w:rsidR="002F26D8">
        <w:t>”</w:t>
      </w:r>
      <w:r w:rsidR="00A021A6" w:rsidRPr="00A021A6">
        <w:t xml:space="preserve"> after </w:t>
      </w:r>
      <w:r w:rsidR="002F26D8">
        <w:t>“</w:t>
      </w:r>
      <w:r w:rsidR="00A021A6" w:rsidRPr="00A021A6">
        <w:t>MN-initiated SN modification procedure</w:t>
      </w:r>
      <w:r w:rsidR="002F26D8">
        <w:t>”</w:t>
      </w:r>
      <w:r w:rsidR="00A021A6" w:rsidRPr="00A021A6">
        <w:t xml:space="preserve"> is completed (or rejected). </w:t>
      </w:r>
    </w:p>
    <w:p w14:paraId="12935845" w14:textId="77777777" w:rsidR="00EE3ACE" w:rsidRDefault="00EE3ACE" w:rsidP="00EE3ACE">
      <w:pPr>
        <w:pStyle w:val="Proposal"/>
        <w:numPr>
          <w:ilvl w:val="0"/>
          <w:numId w:val="0"/>
        </w:numPr>
        <w:rPr>
          <w:lang w:val="en-US"/>
        </w:rPr>
      </w:pPr>
    </w:p>
    <w:p w14:paraId="15FB87C7" w14:textId="7178AF0E" w:rsidR="0024183F" w:rsidRDefault="00B51775" w:rsidP="0024183F">
      <w:pPr>
        <w:pStyle w:val="TH"/>
        <w:rPr>
          <w:lang w:eastAsia="ja-JP"/>
        </w:rPr>
      </w:pPr>
      <w:r w:rsidRPr="00984C59">
        <w:object w:dxaOrig="10260" w:dyaOrig="5598" w14:anchorId="6CA78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6.25pt" o:ole="">
            <v:imagedata r:id="rId14" o:title=""/>
          </v:shape>
          <o:OLEObject Type="Embed" ProgID="Visio.Drawing.11" ShapeID="_x0000_i1025" DrawAspect="Content" ObjectID="_1568144948" r:id="rId15"/>
        </w:object>
      </w:r>
    </w:p>
    <w:p w14:paraId="6D948F91" w14:textId="1981E03A" w:rsidR="0024183F" w:rsidRDefault="0024183F" w:rsidP="0024183F">
      <w:pPr>
        <w:pStyle w:val="TF"/>
        <w:rPr>
          <w:lang w:eastAsia="ja-JP"/>
        </w:rPr>
      </w:pPr>
      <w:r>
        <w:rPr>
          <w:lang w:eastAsia="ja-JP"/>
        </w:rPr>
        <w:t>Figure 1: SN Modification procedure - MN initiated</w:t>
      </w:r>
    </w:p>
    <w:p w14:paraId="123EB0CB" w14:textId="0D43A521" w:rsidR="00CB6EA8" w:rsidRDefault="00CB6EA8" w:rsidP="00311C24">
      <w:pPr>
        <w:pStyle w:val="BodyText"/>
        <w:rPr>
          <w:lang w:eastAsia="ja-JP"/>
        </w:rPr>
      </w:pPr>
      <w:r w:rsidRPr="00311C24">
        <w:t>In</w:t>
      </w:r>
      <w:r>
        <w:t xml:space="preserve"> </w:t>
      </w:r>
      <w:r w:rsidRPr="00CB6EA8">
        <w:t>RAN2 NR AH2</w:t>
      </w:r>
      <w:r>
        <w:t>, it was agreed</w:t>
      </w:r>
      <w:r w:rsidR="003D3C41">
        <w:t xml:space="preserve"> that to be able to</w:t>
      </w:r>
      <w:r w:rsidRPr="00CB6EA8">
        <w:rPr>
          <w:lang w:eastAsia="ja-JP"/>
        </w:rPr>
        <w:t xml:space="preserve"> support delta signalling at MN initiated SN change, MN must have the current SCG configuration in the SN</w:t>
      </w:r>
      <w:r>
        <w:rPr>
          <w:lang w:eastAsia="ja-JP"/>
        </w:rPr>
        <w:t>.</w:t>
      </w:r>
      <w:r w:rsidRPr="00CB6EA8">
        <w:rPr>
          <w:lang w:eastAsia="ja-JP"/>
        </w:rPr>
        <w:t xml:space="preserve"> </w:t>
      </w:r>
      <w:r w:rsidR="00311C24">
        <w:rPr>
          <w:lang w:eastAsia="ja-JP"/>
        </w:rPr>
        <w:t>Similarly</w:t>
      </w:r>
      <w:r w:rsidR="00FE3D20">
        <w:rPr>
          <w:lang w:eastAsia="ja-JP"/>
        </w:rPr>
        <w:t>, in case of</w:t>
      </w:r>
      <w:r w:rsidR="00447100">
        <w:rPr>
          <w:lang w:eastAsia="ja-JP"/>
        </w:rPr>
        <w:t xml:space="preserve"> SN</w:t>
      </w:r>
      <w:r w:rsidR="00B87AF7">
        <w:rPr>
          <w:lang w:eastAsia="ja-JP"/>
        </w:rPr>
        <w:t>-</w:t>
      </w:r>
      <w:r w:rsidR="00447100">
        <w:rPr>
          <w:lang w:eastAsia="ja-JP"/>
        </w:rPr>
        <w:t>initiated SN change procedure,</w:t>
      </w:r>
      <w:r w:rsidR="00311C24">
        <w:rPr>
          <w:lang w:eastAsia="ja-JP"/>
        </w:rPr>
        <w:t xml:space="preserve"> </w:t>
      </w:r>
      <w:r w:rsidR="00D22F0C" w:rsidRPr="00CB6EA8">
        <w:rPr>
          <w:lang w:eastAsia="ja-JP"/>
        </w:rPr>
        <w:t>SCG configuration</w:t>
      </w:r>
      <w:r w:rsidR="00D22F0C">
        <w:rPr>
          <w:lang w:eastAsia="ja-JP"/>
        </w:rPr>
        <w:t xml:space="preserve"> should be</w:t>
      </w:r>
      <w:r w:rsidR="00601A13">
        <w:rPr>
          <w:lang w:eastAsia="ja-JP"/>
        </w:rPr>
        <w:t xml:space="preserve"> transferred from </w:t>
      </w:r>
      <w:r w:rsidR="00D22F0C">
        <w:rPr>
          <w:lang w:eastAsia="ja-JP"/>
        </w:rPr>
        <w:t>source SN to target SN</w:t>
      </w:r>
      <w:r w:rsidR="00311C24">
        <w:rPr>
          <w:lang w:eastAsia="ja-JP"/>
        </w:rPr>
        <w:t xml:space="preserve"> as well. That is because in EN-DC, SN is the node responsible for the SN mobility and the new SCG configuration thereof. </w:t>
      </w:r>
      <w:r w:rsidR="00D22F0C">
        <w:rPr>
          <w:lang w:eastAsia="ja-JP"/>
        </w:rPr>
        <w:t>SCG configuration</w:t>
      </w:r>
      <w:r w:rsidR="00D22F0C" w:rsidRPr="00D22F0C">
        <w:rPr>
          <w:lang w:eastAsia="ja-JP"/>
        </w:rPr>
        <w:t xml:space="preserve"> in the source </w:t>
      </w:r>
      <w:r w:rsidR="00D22F0C">
        <w:rPr>
          <w:lang w:eastAsia="ja-JP"/>
        </w:rPr>
        <w:t>SN</w:t>
      </w:r>
      <w:r w:rsidR="00D22F0C" w:rsidRPr="00D22F0C">
        <w:rPr>
          <w:lang w:eastAsia="ja-JP"/>
        </w:rPr>
        <w:t xml:space="preserve"> </w:t>
      </w:r>
      <w:r w:rsidR="00D22F0C">
        <w:rPr>
          <w:lang w:eastAsia="ja-JP"/>
        </w:rPr>
        <w:t>c</w:t>
      </w:r>
      <w:r w:rsidR="00D22F0C" w:rsidRPr="00D22F0C">
        <w:rPr>
          <w:lang w:eastAsia="ja-JP"/>
        </w:rPr>
        <w:t xml:space="preserve">an be utilized by target </w:t>
      </w:r>
      <w:r w:rsidR="00D22F0C">
        <w:rPr>
          <w:lang w:eastAsia="ja-JP"/>
        </w:rPr>
        <w:t xml:space="preserve">SN </w:t>
      </w:r>
      <w:r w:rsidR="00D22F0C" w:rsidRPr="00D22F0C">
        <w:rPr>
          <w:lang w:eastAsia="ja-JP"/>
        </w:rPr>
        <w:t xml:space="preserve">to determine the need to change the RRC configuration during the </w:t>
      </w:r>
      <w:r w:rsidR="00D22F0C">
        <w:rPr>
          <w:lang w:eastAsia="ja-JP"/>
        </w:rPr>
        <w:t>SN change</w:t>
      </w:r>
      <w:r w:rsidR="00D22F0C" w:rsidRPr="00D22F0C">
        <w:rPr>
          <w:lang w:eastAsia="ja-JP"/>
        </w:rPr>
        <w:t xml:space="preserve">. The information can also be used after the </w:t>
      </w:r>
      <w:r w:rsidR="00D22F0C">
        <w:rPr>
          <w:lang w:eastAsia="ja-JP"/>
        </w:rPr>
        <w:t xml:space="preserve">SN change </w:t>
      </w:r>
      <w:r w:rsidR="00D22F0C" w:rsidRPr="00D22F0C">
        <w:rPr>
          <w:lang w:eastAsia="ja-JP"/>
        </w:rPr>
        <w:t xml:space="preserve">is successfully performed. </w:t>
      </w:r>
      <w:r>
        <w:rPr>
          <w:lang w:eastAsia="ja-JP"/>
        </w:rPr>
        <w:t>Accordingly</w:t>
      </w:r>
      <w:r w:rsidR="00447100">
        <w:rPr>
          <w:lang w:eastAsia="ja-JP"/>
        </w:rPr>
        <w:t>,</w:t>
      </w:r>
      <w:r>
        <w:rPr>
          <w:lang w:eastAsia="ja-JP"/>
        </w:rPr>
        <w:t xml:space="preserve"> we propose the following:</w:t>
      </w:r>
    </w:p>
    <w:p w14:paraId="2683C5BF" w14:textId="7931E0D5" w:rsidR="00601A13" w:rsidRDefault="00D22F0C" w:rsidP="00311C24">
      <w:pPr>
        <w:pStyle w:val="Proposal"/>
        <w:rPr>
          <w:lang w:eastAsia="ja-JP"/>
        </w:rPr>
      </w:pPr>
      <w:r>
        <w:t>SCG configuration</w:t>
      </w:r>
      <w:r w:rsidR="00C17BAF" w:rsidRPr="00C17BAF">
        <w:t xml:space="preserve"> should be included in </w:t>
      </w:r>
      <w:r>
        <w:t xml:space="preserve">the SN change required message </w:t>
      </w:r>
      <w:r w:rsidR="00C17BAF" w:rsidRPr="00C17BAF">
        <w:t xml:space="preserve">for SN triggered </w:t>
      </w:r>
      <w:r>
        <w:t>SN-change procedure.</w:t>
      </w:r>
    </w:p>
    <w:p w14:paraId="52B6E4C9" w14:textId="4246ACD6" w:rsidR="002D5FB1" w:rsidRPr="008C7695" w:rsidRDefault="0089158F" w:rsidP="002D5FB1">
      <w:pPr>
        <w:pStyle w:val="Heading1"/>
        <w:numPr>
          <w:ilvl w:val="0"/>
          <w:numId w:val="16"/>
        </w:numPr>
        <w:textAlignment w:val="auto"/>
      </w:pPr>
      <w:r>
        <w:t>C</w:t>
      </w:r>
      <w:r w:rsidR="002D5FB1" w:rsidRPr="008C7695">
        <w:t>onclusion</w:t>
      </w:r>
    </w:p>
    <w:p w14:paraId="6CB915CC" w14:textId="4513240F" w:rsidR="00F3515E" w:rsidRDefault="002D5FB1">
      <w:pPr>
        <w:pStyle w:val="BodyText"/>
      </w:pPr>
      <w:r w:rsidRPr="008C7695">
        <w:t xml:space="preserve">Based on the discussion in section 2, we have the following </w:t>
      </w:r>
      <w:r w:rsidR="00311C24">
        <w:t xml:space="preserve">observation and </w:t>
      </w:r>
      <w:r w:rsidRPr="008C7695">
        <w:t>proposals:</w:t>
      </w:r>
    </w:p>
    <w:p w14:paraId="4CE3256F" w14:textId="77777777" w:rsidR="007E6BC1" w:rsidRPr="007E6BC1" w:rsidRDefault="007E6BC1" w:rsidP="007E6BC1">
      <w:pPr>
        <w:pStyle w:val="Observation"/>
        <w:numPr>
          <w:ilvl w:val="0"/>
          <w:numId w:val="39"/>
        </w:numPr>
        <w:ind w:left="1701" w:hanging="1701"/>
      </w:pPr>
      <w:r w:rsidRPr="007E6BC1">
        <w:t>NR cell change may not always require key change and PDCP re-establishment thereof.</w:t>
      </w:r>
    </w:p>
    <w:p w14:paraId="1D40BFE0" w14:textId="77777777" w:rsidR="005E315B" w:rsidRDefault="005E315B" w:rsidP="005E315B">
      <w:pPr>
        <w:pStyle w:val="Proposal"/>
        <w:numPr>
          <w:ilvl w:val="0"/>
          <w:numId w:val="0"/>
        </w:numPr>
      </w:pPr>
    </w:p>
    <w:p w14:paraId="444CE19E" w14:textId="014B4803" w:rsidR="002F26D8" w:rsidRDefault="00601A13" w:rsidP="00311C24">
      <w:pPr>
        <w:pStyle w:val="Proposal"/>
        <w:numPr>
          <w:ilvl w:val="0"/>
          <w:numId w:val="0"/>
        </w:numPr>
        <w:ind w:left="1695" w:hanging="1695"/>
      </w:pPr>
      <w:bookmarkStart w:id="3" w:name="_In-sequence_SDU_delivery"/>
      <w:bookmarkEnd w:id="3"/>
      <w:r>
        <w:t>P</w:t>
      </w:r>
      <w:r w:rsidR="005E315B">
        <w:t>roposal 1</w:t>
      </w:r>
      <w:r>
        <w:tab/>
      </w:r>
      <w:r w:rsidR="005E315B">
        <w:t xml:space="preserve">For </w:t>
      </w:r>
      <w:r w:rsidR="005E315B" w:rsidRPr="005E315B">
        <w:t>the sake of clarity, it should be confirmed that at least for EN-DC the MN provides the latest measurement results for SN to choose and configure the SCG cell(s) for both the SN addition and change procedures.</w:t>
      </w:r>
    </w:p>
    <w:p w14:paraId="3682B25D" w14:textId="77777777" w:rsidR="005E315B" w:rsidRDefault="005E315B" w:rsidP="005E315B">
      <w:pPr>
        <w:pStyle w:val="Proposal"/>
        <w:numPr>
          <w:ilvl w:val="0"/>
          <w:numId w:val="0"/>
        </w:numPr>
        <w:ind w:left="1695" w:hanging="1695"/>
      </w:pPr>
      <w:r>
        <w:t>Proposal 2</w:t>
      </w:r>
      <w:r>
        <w:tab/>
      </w:r>
      <w:r w:rsidRPr="00A021A6">
        <w:t xml:space="preserve">SN can initiate a synchronous </w:t>
      </w:r>
      <w:r>
        <w:t>“</w:t>
      </w:r>
      <w:r w:rsidRPr="00A021A6">
        <w:t>NR PSCell change</w:t>
      </w:r>
      <w:r>
        <w:t xml:space="preserve"> without security key change”</w:t>
      </w:r>
      <w:r w:rsidRPr="00A021A6">
        <w:t xml:space="preserve"> by sending MN the PSCell change related configuration in Step 2 of </w:t>
      </w:r>
      <w:r>
        <w:t>“</w:t>
      </w:r>
      <w:r w:rsidRPr="00A021A6">
        <w:t>MN-initiated SN modific</w:t>
      </w:r>
      <w:r>
        <w:t>ation procedure”. For the other cases of synchronous SN modification, SN is only able to initiate “</w:t>
      </w:r>
      <w:r w:rsidRPr="00A021A6">
        <w:t>synchronous SN modification</w:t>
      </w:r>
      <w:r>
        <w:t>”</w:t>
      </w:r>
      <w:r w:rsidRPr="00A021A6">
        <w:t xml:space="preserve"> after </w:t>
      </w:r>
      <w:r>
        <w:t>“</w:t>
      </w:r>
      <w:r w:rsidRPr="00A021A6">
        <w:t>MN-initiated SN modification procedure</w:t>
      </w:r>
      <w:r>
        <w:t>”</w:t>
      </w:r>
      <w:r w:rsidRPr="00A021A6">
        <w:t xml:space="preserve"> is completed (or rejected). </w:t>
      </w:r>
    </w:p>
    <w:p w14:paraId="4EB0A946" w14:textId="1FB45EFA" w:rsidR="00311C24" w:rsidRDefault="00311C24" w:rsidP="00311C24">
      <w:pPr>
        <w:pStyle w:val="Proposal"/>
        <w:numPr>
          <w:ilvl w:val="0"/>
          <w:numId w:val="0"/>
        </w:numPr>
        <w:ind w:left="1695" w:hanging="1695"/>
        <w:rPr>
          <w:lang w:eastAsia="ja-JP"/>
        </w:rPr>
      </w:pPr>
      <w:r>
        <w:t>Proposal 3</w:t>
      </w:r>
      <w:r>
        <w:tab/>
      </w:r>
      <w:r>
        <w:tab/>
        <w:t>SCG configuration</w:t>
      </w:r>
      <w:r w:rsidRPr="00C17BAF">
        <w:t xml:space="preserve"> should be included in </w:t>
      </w:r>
      <w:r>
        <w:t xml:space="preserve">the SN change required message </w:t>
      </w:r>
      <w:r w:rsidRPr="00C17BAF">
        <w:t xml:space="preserve">for SN triggered </w:t>
      </w:r>
      <w:r>
        <w:t>SN-change procedure.</w:t>
      </w:r>
    </w:p>
    <w:p w14:paraId="2BAC8A3E" w14:textId="5731D94C" w:rsidR="002D5FB1" w:rsidRPr="008C7695" w:rsidRDefault="006105A3" w:rsidP="0054024D">
      <w:pPr>
        <w:pStyle w:val="Heading1"/>
        <w:numPr>
          <w:ilvl w:val="0"/>
          <w:numId w:val="16"/>
        </w:numPr>
        <w:textAlignment w:val="auto"/>
      </w:pPr>
      <w:r w:rsidDel="006105A3">
        <w:t xml:space="preserve"> </w:t>
      </w:r>
      <w:r w:rsidR="0054024D" w:rsidRPr="008C7695">
        <w:t xml:space="preserve"> </w:t>
      </w:r>
      <w:r w:rsidR="002D5FB1" w:rsidRPr="008C7695">
        <w:t>References</w:t>
      </w:r>
    </w:p>
    <w:p w14:paraId="71BE5B74" w14:textId="77777777" w:rsidR="00DF4E9E" w:rsidRDefault="00DF4E9E" w:rsidP="00DF4E9E">
      <w:pPr>
        <w:pStyle w:val="Reference"/>
        <w:numPr>
          <w:ilvl w:val="0"/>
          <w:numId w:val="17"/>
        </w:numPr>
        <w:textAlignment w:val="auto"/>
      </w:pPr>
      <w:bookmarkStart w:id="4" w:name="_Ref489812794"/>
      <w:bookmarkStart w:id="5" w:name="_Ref488531688"/>
      <w:bookmarkStart w:id="6" w:name="_Ref446579153"/>
      <w:bookmarkStart w:id="7" w:name="_Ref462960254"/>
      <w:bookmarkStart w:id="8" w:name="_Ref481778301"/>
      <w:r w:rsidRPr="008C7695">
        <w:t>3GPP TS 36.300, 3rd Generation Partnership Project; Technical Specification Group Radio Access Network; Evolved Universal Terrestrial Radio Access (E-UTRA) and Evolved Universal Terrestrial Radio Access Network</w:t>
      </w:r>
      <w:r>
        <w:t xml:space="preserve"> (Release 14)</w:t>
      </w:r>
      <w:r w:rsidRPr="008C7695">
        <w:t xml:space="preserve">. </w:t>
      </w:r>
      <w:bookmarkEnd w:id="4"/>
    </w:p>
    <w:p w14:paraId="41320123" w14:textId="5DCBBEF8" w:rsidR="0024183F" w:rsidRPr="002D5FB1" w:rsidRDefault="0024183F" w:rsidP="0024183F">
      <w:pPr>
        <w:pStyle w:val="Reference"/>
        <w:numPr>
          <w:ilvl w:val="0"/>
          <w:numId w:val="17"/>
        </w:numPr>
        <w:textAlignment w:val="auto"/>
      </w:pPr>
      <w:bookmarkStart w:id="9" w:name="_Ref490242686"/>
      <w:r>
        <w:t>3GPP TS 37.340, 3rd Generation Partnership Project; Technical Specification Group Radio Access Network; Evolved Universal Terrestrial Radio Access (E-UTRA) and NR; Multi-connectivity; Stage 2 (Release 15).</w:t>
      </w:r>
      <w:bookmarkEnd w:id="5"/>
      <w:bookmarkEnd w:id="9"/>
    </w:p>
    <w:bookmarkEnd w:id="6"/>
    <w:bookmarkEnd w:id="7"/>
    <w:bookmarkEnd w:id="8"/>
    <w:p w14:paraId="117F24A6" w14:textId="5C1F3162" w:rsidR="007F0921" w:rsidRDefault="007F0921" w:rsidP="007F0921">
      <w:pPr>
        <w:pStyle w:val="Heading1"/>
      </w:pPr>
      <w:r>
        <w:t>Annex: Agreement history</w:t>
      </w:r>
    </w:p>
    <w:p w14:paraId="4DFFC7EE"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Agreements related to other general parameters (at least for EN-DC)</w:t>
      </w:r>
    </w:p>
    <w:p w14:paraId="68A5C82E"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1</w:t>
      </w:r>
      <w:r w:rsidRPr="00E61497">
        <w:rPr>
          <w:rFonts w:eastAsia="MS Mincho" w:cs="Arial"/>
          <w:szCs w:val="24"/>
          <w:lang w:val="en-US" w:eastAsia="en-US"/>
        </w:rPr>
        <w:tab/>
        <w:t>(At SN addition) MN provides to SN the SN UE capabilities.</w:t>
      </w:r>
    </w:p>
    <w:p w14:paraId="3AFD7AEE"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2</w:t>
      </w:r>
      <w:r w:rsidRPr="00E61497">
        <w:rPr>
          <w:rFonts w:eastAsia="MS Mincho" w:cs="Arial"/>
          <w:szCs w:val="24"/>
          <w:lang w:val="en-US" w:eastAsia="en-US"/>
        </w:rPr>
        <w:tab/>
        <w:t>SN provides the SCG configuration (transparently) to MN, for the case that the SCG configuration is provided to the UE via the MN</w:t>
      </w:r>
    </w:p>
    <w:p w14:paraId="2961DDB8"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3</w:t>
      </w:r>
      <w:r w:rsidRPr="00E61497">
        <w:rPr>
          <w:rFonts w:eastAsia="MS Mincho" w:cs="Arial"/>
          <w:szCs w:val="24"/>
          <w:lang w:val="en-US" w:eastAsia="en-US"/>
        </w:rPr>
        <w:tab/>
        <w:t>MN may provide an SCG configuration restriction to SN (</w:t>
      </w:r>
      <w:r w:rsidRPr="00C8204E">
        <w:rPr>
          <w:rFonts w:eastAsia="MS Mincho" w:cs="Arial"/>
          <w:szCs w:val="24"/>
          <w:lang w:val="en-US" w:eastAsia="en-US"/>
        </w:rPr>
        <w:t>signalling details FFS</w:t>
      </w:r>
      <w:r w:rsidRPr="00E61497">
        <w:rPr>
          <w:rFonts w:eastAsia="MS Mincho" w:cs="Arial"/>
          <w:szCs w:val="24"/>
          <w:lang w:val="en-US" w:eastAsia="en-US"/>
        </w:rPr>
        <w:t>). SN may provide information indicating what SCG configuration restriction it would like to be alleviated/ reduced (</w:t>
      </w:r>
      <w:r w:rsidRPr="00C8204E">
        <w:rPr>
          <w:rFonts w:eastAsia="MS Mincho" w:cs="Arial"/>
          <w:szCs w:val="24"/>
          <w:lang w:val="en-US" w:eastAsia="en-US"/>
        </w:rPr>
        <w:t>signalling details FFS</w:t>
      </w:r>
      <w:r w:rsidRPr="00E61497">
        <w:rPr>
          <w:rFonts w:eastAsia="MS Mincho" w:cs="Arial"/>
          <w:szCs w:val="24"/>
          <w:lang w:val="en-US" w:eastAsia="en-US"/>
        </w:rPr>
        <w:t>)</w:t>
      </w:r>
    </w:p>
    <w:p w14:paraId="2A83ACD8"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4</w:t>
      </w:r>
      <w:r w:rsidRPr="00E61497">
        <w:rPr>
          <w:rFonts w:eastAsia="MS Mincho" w:cs="Arial"/>
          <w:szCs w:val="24"/>
          <w:lang w:val="en-US" w:eastAsia="en-US"/>
        </w:rPr>
        <w:tab/>
        <w:t>Inter-node transfer of SN UE capabilities and SCG configuration information is specified by RRC (inter node message). MN transparently forwards these parameters (i.e. SN UE capabilities received from UE is transparently forwarded to SN, SCG configuration received from SN is transparently forwarded to UE).</w:t>
      </w:r>
    </w:p>
    <w:p w14:paraId="188A9B82"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5</w:t>
      </w:r>
      <w:r w:rsidRPr="00E61497">
        <w:rPr>
          <w:rFonts w:eastAsia="MS Mincho" w:cs="Arial"/>
          <w:szCs w:val="24"/>
          <w:lang w:val="en-US" w:eastAsia="en-US"/>
        </w:rPr>
        <w:tab/>
        <w:t>MN may provide to SN an "SCG change" indication upon MN initiated SCG modification. SN may provide to MN an "SCG change" indication upon SN initiated SCG modification.</w:t>
      </w:r>
    </w:p>
    <w:p w14:paraId="187C972E"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077021">
        <w:rPr>
          <w:rFonts w:eastAsia="MS Mincho" w:cs="Arial"/>
          <w:szCs w:val="24"/>
          <w:lang w:val="en-US" w:eastAsia="en-US"/>
        </w:rPr>
        <w:t>FFS: SCG change still needs to be defined for NR cases</w:t>
      </w:r>
    </w:p>
    <w:p w14:paraId="7EC08817"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6</w:t>
      </w:r>
      <w:r w:rsidRPr="00E61497">
        <w:rPr>
          <w:rFonts w:eastAsia="MS Mincho" w:cs="Arial"/>
          <w:szCs w:val="24"/>
          <w:lang w:val="en-US" w:eastAsia="en-US"/>
        </w:rPr>
        <w:tab/>
        <w:t>Inter-node information transfer regarding MBMS interest is not in scope of REL-15</w:t>
      </w:r>
    </w:p>
    <w:p w14:paraId="3B31C607"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7</w:t>
      </w:r>
      <w:r w:rsidRPr="00E61497">
        <w:rPr>
          <w:rFonts w:eastAsia="MS Mincho" w:cs="Arial"/>
          <w:szCs w:val="24"/>
          <w:lang w:val="en-US" w:eastAsia="en-US"/>
        </w:rPr>
        <w:tab/>
        <w:t>Status of feature make before brake should be concluded before progressing related inter-node transfer</w:t>
      </w:r>
    </w:p>
    <w:p w14:paraId="7F86D521"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8</w:t>
      </w:r>
      <w:r w:rsidRPr="00E61497">
        <w:rPr>
          <w:rFonts w:eastAsia="MS Mincho" w:cs="Arial"/>
          <w:szCs w:val="24"/>
          <w:lang w:val="en-US" w:eastAsia="en-US"/>
        </w:rPr>
        <w:tab/>
        <w:t>MN may provide UE AMBR and serving PLMN upon SCG addition and MN initiated SCG modification</w:t>
      </w:r>
    </w:p>
    <w:p w14:paraId="72AB43FA"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9</w:t>
      </w:r>
      <w:r w:rsidRPr="00E61497">
        <w:rPr>
          <w:rFonts w:eastAsia="MS Mincho" w:cs="Arial"/>
          <w:szCs w:val="24"/>
          <w:lang w:val="en-US" w:eastAsia="en-US"/>
        </w:rPr>
        <w:tab/>
        <w:t>Both MN and SN may include reject cause in failure messages</w:t>
      </w:r>
    </w:p>
    <w:p w14:paraId="2F5BCABA" w14:textId="77777777" w:rsidR="007F0921" w:rsidRPr="00E61497" w:rsidRDefault="007F0921" w:rsidP="007F0921">
      <w:pPr>
        <w:pBdr>
          <w:top w:val="single" w:sz="4" w:space="1" w:color="auto"/>
          <w:left w:val="single" w:sz="4" w:space="4" w:color="auto"/>
          <w:bottom w:val="single" w:sz="4" w:space="1" w:color="auto"/>
          <w:right w:val="single" w:sz="4" w:space="4" w:color="auto"/>
        </w:pBdr>
        <w:tabs>
          <w:tab w:val="left" w:pos="567"/>
        </w:tabs>
        <w:overflowPunct/>
        <w:autoSpaceDE/>
        <w:autoSpaceDN/>
        <w:adjustRightInd/>
        <w:spacing w:after="0"/>
        <w:ind w:left="567" w:hanging="425"/>
        <w:jc w:val="left"/>
        <w:textAlignment w:val="auto"/>
        <w:rPr>
          <w:rFonts w:eastAsia="MS Mincho" w:cs="Arial"/>
          <w:szCs w:val="24"/>
          <w:lang w:val="en-US" w:eastAsia="en-US"/>
        </w:rPr>
      </w:pPr>
      <w:r w:rsidRPr="00E61497">
        <w:rPr>
          <w:rFonts w:eastAsia="MS Mincho" w:cs="Arial"/>
          <w:szCs w:val="24"/>
          <w:lang w:val="en-US" w:eastAsia="en-US"/>
        </w:rPr>
        <w:t>10</w:t>
      </w:r>
      <w:r w:rsidRPr="00E61497">
        <w:rPr>
          <w:rFonts w:eastAsia="MS Mincho" w:cs="Arial"/>
          <w:szCs w:val="24"/>
          <w:lang w:val="en-US" w:eastAsia="en-US"/>
        </w:rPr>
        <w:tab/>
        <w:t>Inter-node transfer of SCG change indication, UE AMBR, serving PLMN and reject cause is specified by Xx</w:t>
      </w:r>
    </w:p>
    <w:p w14:paraId="6F7D139D" w14:textId="77777777" w:rsidR="007F0921" w:rsidRPr="00E61497" w:rsidRDefault="007F0921" w:rsidP="007F0921">
      <w:pPr>
        <w:overflowPunct/>
        <w:autoSpaceDE/>
        <w:autoSpaceDN/>
        <w:adjustRightInd/>
        <w:spacing w:after="0"/>
        <w:ind w:left="567" w:hanging="425"/>
        <w:jc w:val="left"/>
        <w:textAlignment w:val="auto"/>
        <w:rPr>
          <w:rFonts w:eastAsia="MS Mincho" w:cs="Arial"/>
          <w:szCs w:val="24"/>
          <w:lang w:val="en-US" w:eastAsia="en-US"/>
        </w:rPr>
      </w:pPr>
    </w:p>
    <w:p w14:paraId="2C666A45" w14:textId="77777777" w:rsidR="007F0921" w:rsidRDefault="007F0921" w:rsidP="007F0921">
      <w:pPr>
        <w:pBdr>
          <w:top w:val="single" w:sz="4" w:space="1" w:color="auto"/>
          <w:left w:val="single" w:sz="4" w:space="4" w:color="auto"/>
          <w:bottom w:val="single" w:sz="4" w:space="1" w:color="auto"/>
          <w:right w:val="single" w:sz="4" w:space="4" w:color="auto"/>
        </w:pBdr>
        <w:overflowPunct/>
        <w:autoSpaceDE/>
        <w:autoSpaceDN/>
        <w:adjustRightInd/>
        <w:spacing w:after="0"/>
        <w:ind w:left="567" w:hanging="425"/>
        <w:jc w:val="left"/>
        <w:textAlignment w:val="auto"/>
        <w:rPr>
          <w:rFonts w:eastAsia="MS Mincho" w:cs="Arial"/>
          <w:szCs w:val="24"/>
          <w:lang w:val="en-US" w:eastAsia="en-US"/>
        </w:rPr>
      </w:pPr>
      <w:r>
        <w:rPr>
          <w:rFonts w:eastAsia="MS Mincho" w:cs="Arial"/>
          <w:szCs w:val="24"/>
          <w:lang w:val="en-US" w:eastAsia="en-US"/>
        </w:rPr>
        <w:t>Agreements</w:t>
      </w:r>
    </w:p>
    <w:p w14:paraId="700792D5" w14:textId="77777777" w:rsidR="007F0921" w:rsidRPr="00BF74FD" w:rsidRDefault="007F0921" w:rsidP="007F0921">
      <w:pPr>
        <w:pBdr>
          <w:top w:val="single" w:sz="4" w:space="1" w:color="auto"/>
          <w:left w:val="single" w:sz="4" w:space="4" w:color="auto"/>
          <w:bottom w:val="single" w:sz="4" w:space="1" w:color="auto"/>
          <w:right w:val="single" w:sz="4" w:space="4" w:color="auto"/>
        </w:pBdr>
        <w:overflowPunct/>
        <w:autoSpaceDE/>
        <w:autoSpaceDN/>
        <w:adjustRightInd/>
        <w:spacing w:after="0"/>
        <w:ind w:left="567" w:hanging="425"/>
        <w:jc w:val="left"/>
        <w:textAlignment w:val="auto"/>
        <w:rPr>
          <w:rFonts w:eastAsia="MS Mincho" w:cs="Arial"/>
          <w:szCs w:val="24"/>
          <w:lang w:val="en-US" w:eastAsia="en-GB"/>
        </w:rPr>
      </w:pPr>
      <w:r w:rsidRPr="00BF74FD">
        <w:rPr>
          <w:rFonts w:eastAsia="MS Mincho" w:cs="Arial"/>
          <w:szCs w:val="24"/>
          <w:lang w:val="en-US" w:eastAsia="en-US"/>
        </w:rPr>
        <w:t>1:</w:t>
      </w:r>
      <w:r w:rsidRPr="00BF74FD">
        <w:rPr>
          <w:rFonts w:eastAsia="MS Mincho" w:cs="Arial"/>
          <w:szCs w:val="24"/>
          <w:lang w:val="en-US" w:eastAsia="en-US"/>
        </w:rPr>
        <w:tab/>
        <w:t>At least for EN-DC, the MN can perform a blind addition of the SN and use the first RRC reconfiguration message following RRC connection establishment to carry the corresponding SCG configuration. (No additional functionality will be defined enable this)</w:t>
      </w:r>
    </w:p>
    <w:p w14:paraId="6D98F74D" w14:textId="77777777" w:rsidR="007F0921" w:rsidRPr="00BF74FD" w:rsidRDefault="007F0921" w:rsidP="007F0921">
      <w:pPr>
        <w:pBdr>
          <w:top w:val="single" w:sz="4" w:space="1" w:color="auto"/>
          <w:left w:val="single" w:sz="4" w:space="4" w:color="auto"/>
          <w:bottom w:val="single" w:sz="4" w:space="1" w:color="auto"/>
          <w:right w:val="single" w:sz="4" w:space="4" w:color="auto"/>
        </w:pBdr>
        <w:overflowPunct/>
        <w:autoSpaceDE/>
        <w:autoSpaceDN/>
        <w:adjustRightInd/>
        <w:spacing w:after="0"/>
        <w:ind w:left="567" w:hanging="425"/>
        <w:jc w:val="left"/>
        <w:textAlignment w:val="auto"/>
        <w:rPr>
          <w:rFonts w:eastAsia="MS Mincho" w:cs="Arial"/>
          <w:szCs w:val="24"/>
          <w:lang w:val="en-US" w:eastAsia="en-US"/>
        </w:rPr>
      </w:pPr>
      <w:r w:rsidRPr="001952C1">
        <w:rPr>
          <w:rFonts w:eastAsia="MS Mincho" w:cs="Arial"/>
          <w:szCs w:val="24"/>
          <w:lang w:val="en-US" w:eastAsia="en-US"/>
        </w:rPr>
        <w:t>This supercedes the previous agreement on this topic.</w:t>
      </w:r>
    </w:p>
    <w:p w14:paraId="205443FA" w14:textId="77777777" w:rsidR="007F0921" w:rsidRPr="00BF74FD" w:rsidRDefault="007F0921" w:rsidP="007F0921">
      <w:pPr>
        <w:ind w:left="567" w:hanging="425"/>
        <w:rPr>
          <w:rFonts w:cs="Arial"/>
          <w:lang w:val="en-US"/>
        </w:rPr>
      </w:pPr>
    </w:p>
    <w:p w14:paraId="5BC0A32A" w14:textId="77777777" w:rsidR="007F0921" w:rsidRPr="00BF74FD" w:rsidRDefault="007F0921" w:rsidP="007F0921">
      <w:pPr>
        <w:pStyle w:val="Doc-text2"/>
        <w:pBdr>
          <w:top w:val="single" w:sz="4" w:space="1" w:color="auto"/>
          <w:left w:val="single" w:sz="4" w:space="4" w:color="auto"/>
          <w:bottom w:val="single" w:sz="4" w:space="1" w:color="auto"/>
          <w:right w:val="single" w:sz="4" w:space="4" w:color="auto"/>
        </w:pBdr>
        <w:tabs>
          <w:tab w:val="clear" w:pos="1622"/>
        </w:tabs>
        <w:ind w:left="567" w:hanging="425"/>
        <w:rPr>
          <w:rFonts w:ascii="Arial" w:hAnsi="Arial" w:cs="Arial"/>
          <w:sz w:val="20"/>
          <w:szCs w:val="20"/>
        </w:rPr>
      </w:pPr>
      <w:r w:rsidRPr="00BF74FD">
        <w:rPr>
          <w:rFonts w:ascii="Arial" w:hAnsi="Arial" w:cs="Arial"/>
          <w:sz w:val="20"/>
          <w:szCs w:val="20"/>
          <w:lang w:eastAsia="en-US"/>
        </w:rPr>
        <w:t>Agreements</w:t>
      </w:r>
    </w:p>
    <w:p w14:paraId="084057D4" w14:textId="77777777" w:rsidR="007F0921" w:rsidRPr="00BF74FD" w:rsidRDefault="007F0921" w:rsidP="007F0921">
      <w:pPr>
        <w:pBdr>
          <w:top w:val="single" w:sz="4" w:space="1" w:color="auto"/>
          <w:left w:val="single" w:sz="4" w:space="4" w:color="auto"/>
          <w:bottom w:val="single" w:sz="4" w:space="1" w:color="auto"/>
          <w:right w:val="single" w:sz="4" w:space="4" w:color="auto"/>
        </w:pBdr>
        <w:overflowPunct/>
        <w:autoSpaceDE/>
        <w:autoSpaceDN/>
        <w:adjustRightInd/>
        <w:spacing w:after="0"/>
        <w:ind w:left="567" w:hanging="425"/>
        <w:jc w:val="left"/>
        <w:textAlignment w:val="auto"/>
        <w:rPr>
          <w:rFonts w:eastAsia="MS Mincho" w:cs="Arial"/>
          <w:szCs w:val="24"/>
          <w:lang w:val="en-US" w:eastAsia="en-US"/>
        </w:rPr>
      </w:pPr>
      <w:r w:rsidRPr="00BF74FD">
        <w:rPr>
          <w:rFonts w:eastAsia="MS Mincho" w:cs="Arial"/>
          <w:szCs w:val="24"/>
          <w:lang w:val="en-US" w:eastAsia="en-US"/>
        </w:rPr>
        <w:t xml:space="preserve">1: </w:t>
      </w:r>
      <w:r w:rsidRPr="00BF74FD">
        <w:rPr>
          <w:rFonts w:eastAsia="MS Mincho" w:cs="Arial"/>
          <w:szCs w:val="24"/>
          <w:lang w:val="en-US" w:eastAsia="en-US"/>
        </w:rPr>
        <w:tab/>
        <w:t xml:space="preserve">To support delta signalling at MN initiated SN change, MN must have the current SCG configuration in the SN in order to support the MN-initiated SN change. </w:t>
      </w:r>
    </w:p>
    <w:p w14:paraId="27762421" w14:textId="77777777" w:rsidR="007F0921" w:rsidRPr="00BF74FD" w:rsidRDefault="007F0921" w:rsidP="007F0921">
      <w:pPr>
        <w:pBdr>
          <w:top w:val="single" w:sz="4" w:space="1" w:color="auto"/>
          <w:left w:val="single" w:sz="4" w:space="4" w:color="auto"/>
          <w:bottom w:val="single" w:sz="4" w:space="1" w:color="auto"/>
          <w:right w:val="single" w:sz="4" w:space="4" w:color="auto"/>
        </w:pBdr>
        <w:overflowPunct/>
        <w:autoSpaceDE/>
        <w:autoSpaceDN/>
        <w:adjustRightInd/>
        <w:spacing w:after="0"/>
        <w:ind w:left="567" w:hanging="425"/>
        <w:jc w:val="left"/>
        <w:textAlignment w:val="auto"/>
        <w:rPr>
          <w:rFonts w:eastAsia="MS Mincho" w:cs="Arial"/>
          <w:szCs w:val="24"/>
          <w:lang w:val="en-US" w:eastAsia="en-US"/>
        </w:rPr>
      </w:pPr>
      <w:r w:rsidRPr="001952C1">
        <w:rPr>
          <w:rFonts w:eastAsia="MS Mincho" w:cs="Arial"/>
          <w:szCs w:val="24"/>
          <w:lang w:val="en-US" w:eastAsia="en-US"/>
        </w:rPr>
        <w:t>FFS: Signalling to support this.</w:t>
      </w:r>
    </w:p>
    <w:p w14:paraId="64AEC157" w14:textId="7D78507B" w:rsidR="007F0921" w:rsidRDefault="007F0921" w:rsidP="007F0921"/>
    <w:p w14:paraId="41571A21" w14:textId="77777777" w:rsidR="00311C24" w:rsidRDefault="00311C24" w:rsidP="00311C24"/>
    <w:p w14:paraId="45924BC4" w14:textId="77777777" w:rsidR="00311C24" w:rsidRDefault="00311C24" w:rsidP="00311C24">
      <w:pPr>
        <w:pBdr>
          <w:top w:val="single" w:sz="4" w:space="1" w:color="auto"/>
          <w:left w:val="single" w:sz="4" w:space="4" w:color="auto"/>
          <w:bottom w:val="single" w:sz="4" w:space="1" w:color="auto"/>
          <w:right w:val="single" w:sz="4" w:space="4" w:color="auto"/>
        </w:pBdr>
      </w:pPr>
      <w:r>
        <w:t>Agreements</w:t>
      </w:r>
    </w:p>
    <w:p w14:paraId="187167A3" w14:textId="77777777" w:rsidR="00311C24" w:rsidRDefault="00311C24" w:rsidP="00311C24">
      <w:pPr>
        <w:pBdr>
          <w:top w:val="single" w:sz="4" w:space="1" w:color="auto"/>
          <w:left w:val="single" w:sz="4" w:space="4" w:color="auto"/>
          <w:bottom w:val="single" w:sz="4" w:space="1" w:color="auto"/>
          <w:right w:val="single" w:sz="4" w:space="4" w:color="auto"/>
        </w:pBdr>
      </w:pPr>
      <w:r>
        <w:t>1:</w:t>
      </w:r>
      <w:r>
        <w:tab/>
        <w:t>Measurement results relating to the target SN can be provided by MN to target SN at MN initiated SN change procedure.</w:t>
      </w:r>
    </w:p>
    <w:p w14:paraId="51A18BFD" w14:textId="77777777" w:rsidR="00311C24" w:rsidRDefault="00311C24" w:rsidP="00311C24">
      <w:pPr>
        <w:pBdr>
          <w:top w:val="single" w:sz="4" w:space="1" w:color="auto"/>
          <w:left w:val="single" w:sz="4" w:space="4" w:color="auto"/>
          <w:bottom w:val="single" w:sz="4" w:space="1" w:color="auto"/>
          <w:right w:val="single" w:sz="4" w:space="4" w:color="auto"/>
        </w:pBdr>
      </w:pPr>
      <w:r>
        <w:t>2:</w:t>
      </w:r>
      <w:r>
        <w:tab/>
        <w:t>Measurement results of target SN can be forwarded from source SN to target SN via MN at SN initiated SN change procedure.</w:t>
      </w:r>
    </w:p>
    <w:p w14:paraId="3D845675" w14:textId="77777777" w:rsidR="00311C24" w:rsidRDefault="00311C24" w:rsidP="00311C24">
      <w:pPr>
        <w:pBdr>
          <w:top w:val="single" w:sz="4" w:space="1" w:color="auto"/>
          <w:left w:val="single" w:sz="4" w:space="4" w:color="auto"/>
          <w:bottom w:val="single" w:sz="4" w:space="1" w:color="auto"/>
          <w:right w:val="single" w:sz="4" w:space="4" w:color="auto"/>
        </w:pBdr>
      </w:pPr>
      <w:r>
        <w:t>3:</w:t>
      </w:r>
      <w:r>
        <w:tab/>
        <w:t>Measurement results according to measurement configuration from MN are encoded according to NR RRC when they are provided by MN to SN in SN Addition Request message (EN-DC).</w:t>
      </w:r>
    </w:p>
    <w:p w14:paraId="18F58F69" w14:textId="77777777" w:rsidR="00311C24" w:rsidRDefault="00311C24" w:rsidP="00311C24">
      <w:pPr>
        <w:pBdr>
          <w:top w:val="single" w:sz="4" w:space="1" w:color="auto"/>
          <w:left w:val="single" w:sz="4" w:space="4" w:color="auto"/>
          <w:bottom w:val="single" w:sz="4" w:space="1" w:color="auto"/>
          <w:right w:val="single" w:sz="4" w:space="4" w:color="auto"/>
        </w:pBdr>
      </w:pPr>
      <w:r>
        <w:t>4:</w:t>
      </w:r>
      <w:r>
        <w:tab/>
        <w:t>During SN initiates SN change procedure, measurement results according to measurement configuration from SN are encoded according to NR RRC when they are provided by MN to SN in SN Addition Request message.</w:t>
      </w:r>
    </w:p>
    <w:p w14:paraId="075F9251" w14:textId="77777777" w:rsidR="00311C24" w:rsidRDefault="00311C24" w:rsidP="00311C24"/>
    <w:p w14:paraId="787CF4E7" w14:textId="77777777" w:rsidR="00311C24" w:rsidRDefault="00311C24" w:rsidP="00311C24">
      <w:pPr>
        <w:pBdr>
          <w:top w:val="single" w:sz="4" w:space="1" w:color="auto"/>
          <w:left w:val="single" w:sz="4" w:space="4" w:color="auto"/>
          <w:bottom w:val="single" w:sz="4" w:space="1" w:color="auto"/>
          <w:right w:val="single" w:sz="4" w:space="4" w:color="auto"/>
        </w:pBdr>
      </w:pPr>
      <w:r>
        <w:t>Agreements</w:t>
      </w:r>
    </w:p>
    <w:p w14:paraId="6CCC4D0F" w14:textId="77777777" w:rsidR="00311C24" w:rsidRDefault="00311C24" w:rsidP="00311C24">
      <w:pPr>
        <w:pBdr>
          <w:top w:val="single" w:sz="4" w:space="1" w:color="auto"/>
          <w:left w:val="single" w:sz="4" w:space="4" w:color="auto"/>
          <w:bottom w:val="single" w:sz="4" w:space="1" w:color="auto"/>
          <w:right w:val="single" w:sz="4" w:space="4" w:color="auto"/>
        </w:pBdr>
      </w:pPr>
      <w:r>
        <w:t>1:</w:t>
      </w:r>
      <w:r>
        <w:tab/>
        <w:t>For EN-DC, it is not necessary to support inter-RAT SN change procedure with single RRC reconfiguration (i.e. no transition from EN-DC to LTE DC) in Rel-15</w:t>
      </w:r>
    </w:p>
    <w:p w14:paraId="74B51E20" w14:textId="77777777" w:rsidR="00311C24" w:rsidRDefault="00311C24" w:rsidP="00311C24">
      <w:pPr>
        <w:pBdr>
          <w:top w:val="single" w:sz="4" w:space="1" w:color="auto"/>
          <w:left w:val="single" w:sz="4" w:space="4" w:color="auto"/>
          <w:bottom w:val="single" w:sz="4" w:space="1" w:color="auto"/>
          <w:right w:val="single" w:sz="4" w:space="4" w:color="auto"/>
        </w:pBdr>
      </w:pPr>
      <w:r>
        <w:t>2:</w:t>
      </w:r>
      <w:r>
        <w:tab/>
        <w:t>For EN-DC, it is not necessary to support inter-RAT MN change procedure while keeping the SN (i.e. no transition from EN-DC to NR-NR DC) in Rel-15</w:t>
      </w:r>
    </w:p>
    <w:p w14:paraId="63519E32" w14:textId="77777777" w:rsidR="00311C24" w:rsidRDefault="00311C24" w:rsidP="00311C24">
      <w:pPr>
        <w:pBdr>
          <w:top w:val="single" w:sz="4" w:space="1" w:color="auto"/>
          <w:left w:val="single" w:sz="4" w:space="4" w:color="auto"/>
          <w:bottom w:val="single" w:sz="4" w:space="1" w:color="auto"/>
          <w:right w:val="single" w:sz="4" w:space="4" w:color="auto"/>
        </w:pBdr>
      </w:pPr>
      <w:r>
        <w:t xml:space="preserve">3: </w:t>
      </w:r>
      <w:r>
        <w:tab/>
        <w:t>We will not add measurement events that are targeted to these scenarios.</w:t>
      </w:r>
    </w:p>
    <w:p w14:paraId="27DA3CE7" w14:textId="77777777" w:rsidR="00311C24" w:rsidRPr="007F0921" w:rsidRDefault="00311C24" w:rsidP="007F0921"/>
    <w:sectPr w:rsidR="00311C24" w:rsidRPr="007F0921" w:rsidSect="000E32B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0F950" w14:textId="77777777" w:rsidR="000B3E93" w:rsidRDefault="000B3E93">
      <w:r>
        <w:separator/>
      </w:r>
    </w:p>
    <w:p w14:paraId="24D9533F" w14:textId="77777777" w:rsidR="000B3E93" w:rsidRDefault="000B3E93"/>
  </w:endnote>
  <w:endnote w:type="continuationSeparator" w:id="0">
    <w:p w14:paraId="0CC83989" w14:textId="77777777" w:rsidR="000B3E93" w:rsidRDefault="000B3E93">
      <w:r>
        <w:continuationSeparator/>
      </w:r>
    </w:p>
    <w:p w14:paraId="7853E2FB" w14:textId="77777777" w:rsidR="000B3E93" w:rsidRDefault="000B3E93"/>
  </w:endnote>
  <w:endnote w:type="continuationNotice" w:id="1">
    <w:p w14:paraId="036C7AC5" w14:textId="77777777" w:rsidR="000B3E93" w:rsidRDefault="000B3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Times New Roman"/>
    <w:panose1 w:val="02000503000000020004"/>
    <w:charset w:val="00"/>
    <w:family w:val="auto"/>
    <w:pitch w:val="variable"/>
    <w:sig w:usb0="800002A5"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script"/>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56EA704E" w:rsidR="000B3E93" w:rsidRDefault="000B3E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1C4D228" w14:textId="77777777" w:rsidR="000B3E93" w:rsidRDefault="000B3E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D5692" w14:textId="77777777" w:rsidR="000B3E93" w:rsidRDefault="000B3E93">
      <w:r>
        <w:separator/>
      </w:r>
    </w:p>
    <w:p w14:paraId="1D5ED943" w14:textId="77777777" w:rsidR="000B3E93" w:rsidRDefault="000B3E93"/>
  </w:footnote>
  <w:footnote w:type="continuationSeparator" w:id="0">
    <w:p w14:paraId="4FF084AC" w14:textId="77777777" w:rsidR="000B3E93" w:rsidRDefault="000B3E93">
      <w:r>
        <w:continuationSeparator/>
      </w:r>
    </w:p>
    <w:p w14:paraId="591EAA6D" w14:textId="77777777" w:rsidR="000B3E93" w:rsidRDefault="000B3E93"/>
  </w:footnote>
  <w:footnote w:type="continuationNotice" w:id="1">
    <w:p w14:paraId="3E694ECA" w14:textId="77777777" w:rsidR="000B3E93" w:rsidRDefault="000B3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0B3E93" w:rsidRDefault="000B3E93">
    <w:r>
      <w:t xml:space="preserve">Page </w:t>
    </w:r>
    <w:r>
      <w:fldChar w:fldCharType="begin"/>
    </w:r>
    <w:r>
      <w:instrText>PAGE</w:instrText>
    </w:r>
    <w:r>
      <w:fldChar w:fldCharType="separate"/>
    </w:r>
    <w:r>
      <w:t>4</w:t>
    </w:r>
    <w:r>
      <w:fldChar w:fldCharType="end"/>
    </w:r>
    <w:r>
      <w:br/>
      <w:t>Draft prETS 300 ???: Month YYYY</w:t>
    </w:r>
  </w:p>
  <w:p w14:paraId="5AE50A28" w14:textId="77777777" w:rsidR="000B3E93" w:rsidRDefault="000B3E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680F3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0F0268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BC0D5B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47782A"/>
    <w:multiLevelType w:val="hybridMultilevel"/>
    <w:tmpl w:val="6B64568E"/>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6BC"/>
    <w:multiLevelType w:val="hybridMultilevel"/>
    <w:tmpl w:val="CE3EB7D2"/>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D77A9"/>
    <w:multiLevelType w:val="hybridMultilevel"/>
    <w:tmpl w:val="A26A23D4"/>
    <w:lvl w:ilvl="0" w:tplc="CAD84FA4">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E74E4"/>
    <w:multiLevelType w:val="hybridMultilevel"/>
    <w:tmpl w:val="36E09176"/>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14708"/>
    <w:multiLevelType w:val="hybridMultilevel"/>
    <w:tmpl w:val="7AD00D60"/>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AA1855"/>
    <w:multiLevelType w:val="hybridMultilevel"/>
    <w:tmpl w:val="4CCCB474"/>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622619"/>
    <w:multiLevelType w:val="hybridMultilevel"/>
    <w:tmpl w:val="71F06738"/>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9"/>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1"/>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0"/>
  </w:num>
  <w:num w:numId="22">
    <w:abstractNumId w:val="22"/>
  </w:num>
  <w:num w:numId="23">
    <w:abstractNumId w:val="7"/>
  </w:num>
  <w:num w:numId="24">
    <w:abstractNumId w:val="11"/>
    <w:lvlOverride w:ilvl="0">
      <w:startOverride w:val="1"/>
    </w:lvlOverride>
  </w:num>
  <w:num w:numId="25">
    <w:abstractNumId w:val="16"/>
    <w:lvlOverride w:ilvl="0">
      <w:startOverride w:val="1"/>
    </w:lvlOverride>
  </w:num>
  <w:num w:numId="26">
    <w:abstractNumId w:val="15"/>
  </w:num>
  <w:num w:numId="27">
    <w:abstractNumId w:val="24"/>
  </w:num>
  <w:num w:numId="28">
    <w:abstractNumId w:val="16"/>
  </w:num>
  <w:num w:numId="29">
    <w:abstractNumId w:val="5"/>
  </w:num>
  <w:num w:numId="30">
    <w:abstractNumId w:val="17"/>
  </w:num>
  <w:num w:numId="31">
    <w:abstractNumId w:val="18"/>
  </w:num>
  <w:num w:numId="32">
    <w:abstractNumId w:val="6"/>
  </w:num>
  <w:num w:numId="33">
    <w:abstractNumId w:val="23"/>
  </w:num>
  <w:num w:numId="34">
    <w:abstractNumId w:val="11"/>
    <w:lvlOverride w:ilvl="0">
      <w:startOverride w:val="1"/>
    </w:lvlOverride>
  </w:num>
  <w:num w:numId="35">
    <w:abstractNumId w:val="16"/>
    <w:lvlOverride w:ilvl="0">
      <w:startOverride w:val="1"/>
    </w:lvlOverride>
  </w:num>
  <w:num w:numId="36">
    <w:abstractNumId w:val="11"/>
    <w:lvlOverride w:ilvl="0">
      <w:startOverride w:val="1"/>
    </w:lvlOverride>
  </w:num>
  <w:num w:numId="37">
    <w:abstractNumId w:val="16"/>
    <w:lvlOverride w:ilvl="0">
      <w:startOverride w:val="1"/>
    </w:lvlOverride>
  </w:num>
  <w:num w:numId="38">
    <w:abstractNumId w:val="11"/>
    <w:lvlOverride w:ilvl="0">
      <w:startOverride w:val="1"/>
    </w:lvlOverride>
  </w:num>
  <w:num w:numId="39">
    <w:abstractNumId w:val="16"/>
    <w:lvlOverride w:ilvl="0">
      <w:startOverride w:val="1"/>
    </w:lvlOverride>
  </w:num>
  <w:num w:numId="40">
    <w:abstractNumId w:val="11"/>
    <w:lvlOverride w:ilvl="0">
      <w:startOverride w:val="1"/>
    </w:lvlOverride>
  </w:num>
  <w:num w:numId="41">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58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49B7"/>
    <w:rsid w:val="00015D15"/>
    <w:rsid w:val="00020490"/>
    <w:rsid w:val="0002564D"/>
    <w:rsid w:val="00025ECA"/>
    <w:rsid w:val="00030094"/>
    <w:rsid w:val="000325B8"/>
    <w:rsid w:val="00034C15"/>
    <w:rsid w:val="00034FE6"/>
    <w:rsid w:val="00036BA1"/>
    <w:rsid w:val="00037537"/>
    <w:rsid w:val="000422E2"/>
    <w:rsid w:val="00042F22"/>
    <w:rsid w:val="000444EF"/>
    <w:rsid w:val="00052A07"/>
    <w:rsid w:val="000534E3"/>
    <w:rsid w:val="0005606A"/>
    <w:rsid w:val="00057117"/>
    <w:rsid w:val="000616E7"/>
    <w:rsid w:val="0006487E"/>
    <w:rsid w:val="00065E1A"/>
    <w:rsid w:val="00073449"/>
    <w:rsid w:val="00077021"/>
    <w:rsid w:val="00077E5F"/>
    <w:rsid w:val="0008036A"/>
    <w:rsid w:val="00081AE6"/>
    <w:rsid w:val="00081D2B"/>
    <w:rsid w:val="000855EB"/>
    <w:rsid w:val="00085B52"/>
    <w:rsid w:val="000866F2"/>
    <w:rsid w:val="0009009F"/>
    <w:rsid w:val="00091557"/>
    <w:rsid w:val="00092276"/>
    <w:rsid w:val="000924C1"/>
    <w:rsid w:val="000924F0"/>
    <w:rsid w:val="00093474"/>
    <w:rsid w:val="0009510F"/>
    <w:rsid w:val="000A1B7B"/>
    <w:rsid w:val="000A56F2"/>
    <w:rsid w:val="000B09BE"/>
    <w:rsid w:val="000B0A8E"/>
    <w:rsid w:val="000B2719"/>
    <w:rsid w:val="000B3A8F"/>
    <w:rsid w:val="000B3E93"/>
    <w:rsid w:val="000B4AB9"/>
    <w:rsid w:val="000B58C3"/>
    <w:rsid w:val="000B61E9"/>
    <w:rsid w:val="000B7CC3"/>
    <w:rsid w:val="000C09B6"/>
    <w:rsid w:val="000C165A"/>
    <w:rsid w:val="000C2E19"/>
    <w:rsid w:val="000D0D07"/>
    <w:rsid w:val="000D4797"/>
    <w:rsid w:val="000E0527"/>
    <w:rsid w:val="000E07FF"/>
    <w:rsid w:val="000E1E92"/>
    <w:rsid w:val="000E32B8"/>
    <w:rsid w:val="000E5CA7"/>
    <w:rsid w:val="000F06D6"/>
    <w:rsid w:val="000F0EB1"/>
    <w:rsid w:val="000F0FD9"/>
    <w:rsid w:val="000F1106"/>
    <w:rsid w:val="000F3BE9"/>
    <w:rsid w:val="000F3F6C"/>
    <w:rsid w:val="000F6DF3"/>
    <w:rsid w:val="000F6F8C"/>
    <w:rsid w:val="001005FF"/>
    <w:rsid w:val="001062FB"/>
    <w:rsid w:val="001063E6"/>
    <w:rsid w:val="00113CF4"/>
    <w:rsid w:val="001153EA"/>
    <w:rsid w:val="00115643"/>
    <w:rsid w:val="00115967"/>
    <w:rsid w:val="00116765"/>
    <w:rsid w:val="001219F5"/>
    <w:rsid w:val="00121A20"/>
    <w:rsid w:val="0012310D"/>
    <w:rsid w:val="0012372A"/>
    <w:rsid w:val="0012377F"/>
    <w:rsid w:val="00124314"/>
    <w:rsid w:val="00126B4A"/>
    <w:rsid w:val="00131D3B"/>
    <w:rsid w:val="00132FD0"/>
    <w:rsid w:val="001344C0"/>
    <w:rsid w:val="001346FA"/>
    <w:rsid w:val="00135252"/>
    <w:rsid w:val="001369AA"/>
    <w:rsid w:val="00137AB5"/>
    <w:rsid w:val="00137F0B"/>
    <w:rsid w:val="00141D07"/>
    <w:rsid w:val="00142DE6"/>
    <w:rsid w:val="00151E23"/>
    <w:rsid w:val="00152640"/>
    <w:rsid w:val="001526E0"/>
    <w:rsid w:val="001551B5"/>
    <w:rsid w:val="001634B8"/>
    <w:rsid w:val="001659C1"/>
    <w:rsid w:val="00166CCC"/>
    <w:rsid w:val="00173A8E"/>
    <w:rsid w:val="00177795"/>
    <w:rsid w:val="00180F21"/>
    <w:rsid w:val="0018143F"/>
    <w:rsid w:val="00190AC1"/>
    <w:rsid w:val="00191B5D"/>
    <w:rsid w:val="0019341A"/>
    <w:rsid w:val="001952C1"/>
    <w:rsid w:val="001961CA"/>
    <w:rsid w:val="00197DF9"/>
    <w:rsid w:val="001A1987"/>
    <w:rsid w:val="001A2564"/>
    <w:rsid w:val="001A6173"/>
    <w:rsid w:val="001A6CBA"/>
    <w:rsid w:val="001B05AD"/>
    <w:rsid w:val="001B0D97"/>
    <w:rsid w:val="001B5A5D"/>
    <w:rsid w:val="001C0FD0"/>
    <w:rsid w:val="001C1CE5"/>
    <w:rsid w:val="001C3D2A"/>
    <w:rsid w:val="001C40AD"/>
    <w:rsid w:val="001D0A9C"/>
    <w:rsid w:val="001D2098"/>
    <w:rsid w:val="001D51BA"/>
    <w:rsid w:val="001D6342"/>
    <w:rsid w:val="001D6D53"/>
    <w:rsid w:val="001E58E2"/>
    <w:rsid w:val="001E7AED"/>
    <w:rsid w:val="001F2D34"/>
    <w:rsid w:val="001F3916"/>
    <w:rsid w:val="001F54C5"/>
    <w:rsid w:val="001F662C"/>
    <w:rsid w:val="001F7074"/>
    <w:rsid w:val="00200490"/>
    <w:rsid w:val="00201F3A"/>
    <w:rsid w:val="00202142"/>
    <w:rsid w:val="00203F96"/>
    <w:rsid w:val="0020606F"/>
    <w:rsid w:val="002069B2"/>
    <w:rsid w:val="00207FA3"/>
    <w:rsid w:val="002124A1"/>
    <w:rsid w:val="00213212"/>
    <w:rsid w:val="00214DA8"/>
    <w:rsid w:val="00215423"/>
    <w:rsid w:val="002158FA"/>
    <w:rsid w:val="00220600"/>
    <w:rsid w:val="00220FBF"/>
    <w:rsid w:val="002224DB"/>
    <w:rsid w:val="00223FCB"/>
    <w:rsid w:val="002252C3"/>
    <w:rsid w:val="00225C54"/>
    <w:rsid w:val="00230765"/>
    <w:rsid w:val="002319E4"/>
    <w:rsid w:val="00235632"/>
    <w:rsid w:val="00235872"/>
    <w:rsid w:val="00241559"/>
    <w:rsid w:val="0024183F"/>
    <w:rsid w:val="002435B3"/>
    <w:rsid w:val="002458EB"/>
    <w:rsid w:val="002500C8"/>
    <w:rsid w:val="00252C87"/>
    <w:rsid w:val="002569BF"/>
    <w:rsid w:val="00257543"/>
    <w:rsid w:val="002615D8"/>
    <w:rsid w:val="002617E7"/>
    <w:rsid w:val="00261927"/>
    <w:rsid w:val="00262549"/>
    <w:rsid w:val="00264228"/>
    <w:rsid w:val="00264334"/>
    <w:rsid w:val="0026473E"/>
    <w:rsid w:val="00266214"/>
    <w:rsid w:val="00267C83"/>
    <w:rsid w:val="0027144F"/>
    <w:rsid w:val="00271F3A"/>
    <w:rsid w:val="002724BE"/>
    <w:rsid w:val="002729E7"/>
    <w:rsid w:val="00273278"/>
    <w:rsid w:val="002737F4"/>
    <w:rsid w:val="002805F5"/>
    <w:rsid w:val="00280751"/>
    <w:rsid w:val="0028280A"/>
    <w:rsid w:val="002849FE"/>
    <w:rsid w:val="00286ACD"/>
    <w:rsid w:val="00287838"/>
    <w:rsid w:val="002907B5"/>
    <w:rsid w:val="00292EB7"/>
    <w:rsid w:val="0029354C"/>
    <w:rsid w:val="002942FB"/>
    <w:rsid w:val="0029477C"/>
    <w:rsid w:val="00296227"/>
    <w:rsid w:val="00296F44"/>
    <w:rsid w:val="0029777D"/>
    <w:rsid w:val="00297E0A"/>
    <w:rsid w:val="002A055E"/>
    <w:rsid w:val="002A1D4E"/>
    <w:rsid w:val="002A2869"/>
    <w:rsid w:val="002B054F"/>
    <w:rsid w:val="002B0EBF"/>
    <w:rsid w:val="002B24D6"/>
    <w:rsid w:val="002B298E"/>
    <w:rsid w:val="002C41E6"/>
    <w:rsid w:val="002C512B"/>
    <w:rsid w:val="002D071A"/>
    <w:rsid w:val="002D0D7C"/>
    <w:rsid w:val="002D34B2"/>
    <w:rsid w:val="002D5FB1"/>
    <w:rsid w:val="002D7637"/>
    <w:rsid w:val="002E17F2"/>
    <w:rsid w:val="002E4F17"/>
    <w:rsid w:val="002E7CAE"/>
    <w:rsid w:val="002F0000"/>
    <w:rsid w:val="002F26D8"/>
    <w:rsid w:val="002F2771"/>
    <w:rsid w:val="002F37A9"/>
    <w:rsid w:val="00301CE6"/>
    <w:rsid w:val="0030256B"/>
    <w:rsid w:val="0030501F"/>
    <w:rsid w:val="00307BA1"/>
    <w:rsid w:val="00311702"/>
    <w:rsid w:val="00311C24"/>
    <w:rsid w:val="00311E82"/>
    <w:rsid w:val="00313FD6"/>
    <w:rsid w:val="003143BD"/>
    <w:rsid w:val="003203ED"/>
    <w:rsid w:val="00322C9F"/>
    <w:rsid w:val="00324D23"/>
    <w:rsid w:val="00325999"/>
    <w:rsid w:val="00331751"/>
    <w:rsid w:val="00334579"/>
    <w:rsid w:val="00335858"/>
    <w:rsid w:val="00336BDA"/>
    <w:rsid w:val="00342BD7"/>
    <w:rsid w:val="00343A07"/>
    <w:rsid w:val="003447D1"/>
    <w:rsid w:val="00346DB5"/>
    <w:rsid w:val="003477B1"/>
    <w:rsid w:val="003553B3"/>
    <w:rsid w:val="00357380"/>
    <w:rsid w:val="003602D9"/>
    <w:rsid w:val="003604CE"/>
    <w:rsid w:val="00360BE0"/>
    <w:rsid w:val="00367593"/>
    <w:rsid w:val="00370E47"/>
    <w:rsid w:val="003742AC"/>
    <w:rsid w:val="00375439"/>
    <w:rsid w:val="00376185"/>
    <w:rsid w:val="00377CE1"/>
    <w:rsid w:val="00385BF0"/>
    <w:rsid w:val="00386A47"/>
    <w:rsid w:val="003939FF"/>
    <w:rsid w:val="003973D7"/>
    <w:rsid w:val="003A2223"/>
    <w:rsid w:val="003A2A0F"/>
    <w:rsid w:val="003A45A1"/>
    <w:rsid w:val="003A5B0A"/>
    <w:rsid w:val="003A6BAC"/>
    <w:rsid w:val="003A7EF3"/>
    <w:rsid w:val="003B080B"/>
    <w:rsid w:val="003B159C"/>
    <w:rsid w:val="003B369F"/>
    <w:rsid w:val="003B36A3"/>
    <w:rsid w:val="003B7FE5"/>
    <w:rsid w:val="003C11C8"/>
    <w:rsid w:val="003C20D8"/>
    <w:rsid w:val="003C2702"/>
    <w:rsid w:val="003C4B19"/>
    <w:rsid w:val="003C6FA7"/>
    <w:rsid w:val="003C7806"/>
    <w:rsid w:val="003D109F"/>
    <w:rsid w:val="003D2478"/>
    <w:rsid w:val="003D3C41"/>
    <w:rsid w:val="003D3C45"/>
    <w:rsid w:val="003D5B1F"/>
    <w:rsid w:val="003E15FA"/>
    <w:rsid w:val="003E55E4"/>
    <w:rsid w:val="003E74E3"/>
    <w:rsid w:val="003F05C7"/>
    <w:rsid w:val="003F1710"/>
    <w:rsid w:val="003F2CD4"/>
    <w:rsid w:val="003F6BBE"/>
    <w:rsid w:val="004000E8"/>
    <w:rsid w:val="0040036A"/>
    <w:rsid w:val="00402E2B"/>
    <w:rsid w:val="0040434A"/>
    <w:rsid w:val="0040512B"/>
    <w:rsid w:val="00405CA5"/>
    <w:rsid w:val="00407CD3"/>
    <w:rsid w:val="00410134"/>
    <w:rsid w:val="00410B72"/>
    <w:rsid w:val="00410F18"/>
    <w:rsid w:val="0041263E"/>
    <w:rsid w:val="004131EE"/>
    <w:rsid w:val="00413AAC"/>
    <w:rsid w:val="00421105"/>
    <w:rsid w:val="004242F4"/>
    <w:rsid w:val="00427248"/>
    <w:rsid w:val="004275C0"/>
    <w:rsid w:val="004309EA"/>
    <w:rsid w:val="00437447"/>
    <w:rsid w:val="00441A92"/>
    <w:rsid w:val="00444F56"/>
    <w:rsid w:val="00446488"/>
    <w:rsid w:val="00447100"/>
    <w:rsid w:val="004517AA"/>
    <w:rsid w:val="00452CAC"/>
    <w:rsid w:val="00452EB6"/>
    <w:rsid w:val="00457565"/>
    <w:rsid w:val="004577D6"/>
    <w:rsid w:val="00457B71"/>
    <w:rsid w:val="00461342"/>
    <w:rsid w:val="00462942"/>
    <w:rsid w:val="00464B80"/>
    <w:rsid w:val="00466782"/>
    <w:rsid w:val="004669E2"/>
    <w:rsid w:val="00470C31"/>
    <w:rsid w:val="004734D0"/>
    <w:rsid w:val="0047556B"/>
    <w:rsid w:val="00476674"/>
    <w:rsid w:val="00477768"/>
    <w:rsid w:val="00482576"/>
    <w:rsid w:val="004846DB"/>
    <w:rsid w:val="004849F4"/>
    <w:rsid w:val="00485AB2"/>
    <w:rsid w:val="00492BC5"/>
    <w:rsid w:val="004964F1"/>
    <w:rsid w:val="004A16BC"/>
    <w:rsid w:val="004A2B94"/>
    <w:rsid w:val="004B2A56"/>
    <w:rsid w:val="004B7C0C"/>
    <w:rsid w:val="004C3898"/>
    <w:rsid w:val="004D35CA"/>
    <w:rsid w:val="004D36B1"/>
    <w:rsid w:val="004D4726"/>
    <w:rsid w:val="004D7EBD"/>
    <w:rsid w:val="004E2680"/>
    <w:rsid w:val="004E28F9"/>
    <w:rsid w:val="004E462E"/>
    <w:rsid w:val="004E56DC"/>
    <w:rsid w:val="004E6DE3"/>
    <w:rsid w:val="004E76F4"/>
    <w:rsid w:val="004F0B4E"/>
    <w:rsid w:val="004F0B6C"/>
    <w:rsid w:val="004F2078"/>
    <w:rsid w:val="004F4DA3"/>
    <w:rsid w:val="004F6FE3"/>
    <w:rsid w:val="00500B12"/>
    <w:rsid w:val="00503D42"/>
    <w:rsid w:val="00506557"/>
    <w:rsid w:val="0050677A"/>
    <w:rsid w:val="005108D8"/>
    <w:rsid w:val="005116F9"/>
    <w:rsid w:val="005153A7"/>
    <w:rsid w:val="005165D3"/>
    <w:rsid w:val="0051670B"/>
    <w:rsid w:val="005219CF"/>
    <w:rsid w:val="0053269E"/>
    <w:rsid w:val="00534B59"/>
    <w:rsid w:val="00536759"/>
    <w:rsid w:val="00537C62"/>
    <w:rsid w:val="0054024D"/>
    <w:rsid w:val="005403F6"/>
    <w:rsid w:val="00540E58"/>
    <w:rsid w:val="00544421"/>
    <w:rsid w:val="00544E0D"/>
    <w:rsid w:val="00546970"/>
    <w:rsid w:val="00554E19"/>
    <w:rsid w:val="00557C68"/>
    <w:rsid w:val="00560409"/>
    <w:rsid w:val="0056121F"/>
    <w:rsid w:val="00572505"/>
    <w:rsid w:val="00582809"/>
    <w:rsid w:val="0058798C"/>
    <w:rsid w:val="005900FA"/>
    <w:rsid w:val="005935A4"/>
    <w:rsid w:val="005948C2"/>
    <w:rsid w:val="00594F65"/>
    <w:rsid w:val="00595DCA"/>
    <w:rsid w:val="0059779B"/>
    <w:rsid w:val="005A209A"/>
    <w:rsid w:val="005A4E7C"/>
    <w:rsid w:val="005A662D"/>
    <w:rsid w:val="005B35D7"/>
    <w:rsid w:val="005B392A"/>
    <w:rsid w:val="005B3AA3"/>
    <w:rsid w:val="005B6F83"/>
    <w:rsid w:val="005C6668"/>
    <w:rsid w:val="005C74FB"/>
    <w:rsid w:val="005D1602"/>
    <w:rsid w:val="005E2C35"/>
    <w:rsid w:val="005E315B"/>
    <w:rsid w:val="005E385F"/>
    <w:rsid w:val="005E5B81"/>
    <w:rsid w:val="005F2CB1"/>
    <w:rsid w:val="005F3025"/>
    <w:rsid w:val="005F618C"/>
    <w:rsid w:val="005F70BD"/>
    <w:rsid w:val="005F7518"/>
    <w:rsid w:val="00600CB8"/>
    <w:rsid w:val="00601A13"/>
    <w:rsid w:val="0060283C"/>
    <w:rsid w:val="00604F14"/>
    <w:rsid w:val="006062E1"/>
    <w:rsid w:val="006105A3"/>
    <w:rsid w:val="00611B83"/>
    <w:rsid w:val="00613257"/>
    <w:rsid w:val="00620A71"/>
    <w:rsid w:val="00620D80"/>
    <w:rsid w:val="00622531"/>
    <w:rsid w:val="006234A6"/>
    <w:rsid w:val="00623ACD"/>
    <w:rsid w:val="00630001"/>
    <w:rsid w:val="006311B3"/>
    <w:rsid w:val="0063284C"/>
    <w:rsid w:val="00636398"/>
    <w:rsid w:val="006368D3"/>
    <w:rsid w:val="00637224"/>
    <w:rsid w:val="006377EC"/>
    <w:rsid w:val="0064151F"/>
    <w:rsid w:val="00641533"/>
    <w:rsid w:val="0064208D"/>
    <w:rsid w:val="00643475"/>
    <w:rsid w:val="0064396A"/>
    <w:rsid w:val="0064624E"/>
    <w:rsid w:val="00650AB9"/>
    <w:rsid w:val="00650BE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7A4"/>
    <w:rsid w:val="006A0889"/>
    <w:rsid w:val="006A3883"/>
    <w:rsid w:val="006A46FB"/>
    <w:rsid w:val="006A5E28"/>
    <w:rsid w:val="006A697B"/>
    <w:rsid w:val="006A7AFF"/>
    <w:rsid w:val="006B0228"/>
    <w:rsid w:val="006B1816"/>
    <w:rsid w:val="006B2099"/>
    <w:rsid w:val="006B50CF"/>
    <w:rsid w:val="006B65A0"/>
    <w:rsid w:val="006C03B8"/>
    <w:rsid w:val="006C5EC9"/>
    <w:rsid w:val="006C6059"/>
    <w:rsid w:val="006C7522"/>
    <w:rsid w:val="006D6F08"/>
    <w:rsid w:val="006E062C"/>
    <w:rsid w:val="006E13E0"/>
    <w:rsid w:val="006E28B7"/>
    <w:rsid w:val="006E3310"/>
    <w:rsid w:val="006E4E39"/>
    <w:rsid w:val="006E565E"/>
    <w:rsid w:val="006E673D"/>
    <w:rsid w:val="006E7D3B"/>
    <w:rsid w:val="006F1B70"/>
    <w:rsid w:val="006F341D"/>
    <w:rsid w:val="006F3CDE"/>
    <w:rsid w:val="006F42B0"/>
    <w:rsid w:val="006F4868"/>
    <w:rsid w:val="006F58D4"/>
    <w:rsid w:val="0070346E"/>
    <w:rsid w:val="00704EDB"/>
    <w:rsid w:val="00706101"/>
    <w:rsid w:val="00707072"/>
    <w:rsid w:val="00707D61"/>
    <w:rsid w:val="00712287"/>
    <w:rsid w:val="00712772"/>
    <w:rsid w:val="007148D3"/>
    <w:rsid w:val="00714C72"/>
    <w:rsid w:val="00715B9A"/>
    <w:rsid w:val="00721A2A"/>
    <w:rsid w:val="00726EA6"/>
    <w:rsid w:val="00727208"/>
    <w:rsid w:val="00727680"/>
    <w:rsid w:val="007348B1"/>
    <w:rsid w:val="00735E01"/>
    <w:rsid w:val="007362A6"/>
    <w:rsid w:val="00736B09"/>
    <w:rsid w:val="00736D7D"/>
    <w:rsid w:val="00740E58"/>
    <w:rsid w:val="007445A0"/>
    <w:rsid w:val="0074524B"/>
    <w:rsid w:val="00747D8B"/>
    <w:rsid w:val="0075084B"/>
    <w:rsid w:val="00751228"/>
    <w:rsid w:val="007571E1"/>
    <w:rsid w:val="007604B2"/>
    <w:rsid w:val="00764D21"/>
    <w:rsid w:val="00765281"/>
    <w:rsid w:val="00766BAD"/>
    <w:rsid w:val="00766D1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507"/>
    <w:rsid w:val="007B3D2D"/>
    <w:rsid w:val="007B3EBC"/>
    <w:rsid w:val="007B50AE"/>
    <w:rsid w:val="007B51DF"/>
    <w:rsid w:val="007C05DD"/>
    <w:rsid w:val="007C3D18"/>
    <w:rsid w:val="007C60BF"/>
    <w:rsid w:val="007C6A07"/>
    <w:rsid w:val="007C75A1"/>
    <w:rsid w:val="007C77A5"/>
    <w:rsid w:val="007D04E5"/>
    <w:rsid w:val="007D245A"/>
    <w:rsid w:val="007D33C1"/>
    <w:rsid w:val="007D5901"/>
    <w:rsid w:val="007D7526"/>
    <w:rsid w:val="007D75DC"/>
    <w:rsid w:val="007E0BE5"/>
    <w:rsid w:val="007E4610"/>
    <w:rsid w:val="007E4715"/>
    <w:rsid w:val="007E505B"/>
    <w:rsid w:val="007E6BC1"/>
    <w:rsid w:val="007E7091"/>
    <w:rsid w:val="007F0921"/>
    <w:rsid w:val="007F11C6"/>
    <w:rsid w:val="00800EC5"/>
    <w:rsid w:val="00802253"/>
    <w:rsid w:val="00803FAE"/>
    <w:rsid w:val="0080605F"/>
    <w:rsid w:val="00807786"/>
    <w:rsid w:val="00811FCB"/>
    <w:rsid w:val="008158D6"/>
    <w:rsid w:val="00817196"/>
    <w:rsid w:val="008235DB"/>
    <w:rsid w:val="00824AB4"/>
    <w:rsid w:val="00825C42"/>
    <w:rsid w:val="00825D25"/>
    <w:rsid w:val="008272CC"/>
    <w:rsid w:val="00827D6F"/>
    <w:rsid w:val="00834C18"/>
    <w:rsid w:val="00836B6A"/>
    <w:rsid w:val="008376AC"/>
    <w:rsid w:val="008444E8"/>
    <w:rsid w:val="00844E80"/>
    <w:rsid w:val="00846FE7"/>
    <w:rsid w:val="008476DA"/>
    <w:rsid w:val="008534B9"/>
    <w:rsid w:val="00854F97"/>
    <w:rsid w:val="008554A3"/>
    <w:rsid w:val="00856911"/>
    <w:rsid w:val="008653DF"/>
    <w:rsid w:val="0086686D"/>
    <w:rsid w:val="008677FD"/>
    <w:rsid w:val="008706D4"/>
    <w:rsid w:val="00870F8A"/>
    <w:rsid w:val="008719A4"/>
    <w:rsid w:val="00871D23"/>
    <w:rsid w:val="00872E28"/>
    <w:rsid w:val="0087303D"/>
    <w:rsid w:val="00874312"/>
    <w:rsid w:val="0087437C"/>
    <w:rsid w:val="00875CD7"/>
    <w:rsid w:val="00876B4D"/>
    <w:rsid w:val="00877F18"/>
    <w:rsid w:val="00882C5A"/>
    <w:rsid w:val="0088405F"/>
    <w:rsid w:val="0089158F"/>
    <w:rsid w:val="00894A88"/>
    <w:rsid w:val="00895386"/>
    <w:rsid w:val="008963B9"/>
    <w:rsid w:val="008A21FF"/>
    <w:rsid w:val="008A2CE2"/>
    <w:rsid w:val="008A30AC"/>
    <w:rsid w:val="008A44B8"/>
    <w:rsid w:val="008A51A8"/>
    <w:rsid w:val="008A54C7"/>
    <w:rsid w:val="008A77D8"/>
    <w:rsid w:val="008B0483"/>
    <w:rsid w:val="008B120C"/>
    <w:rsid w:val="008B1CD5"/>
    <w:rsid w:val="008B29BD"/>
    <w:rsid w:val="008B51A0"/>
    <w:rsid w:val="008B592A"/>
    <w:rsid w:val="008B7B5C"/>
    <w:rsid w:val="008B7F76"/>
    <w:rsid w:val="008C0C99"/>
    <w:rsid w:val="008C2017"/>
    <w:rsid w:val="008C4465"/>
    <w:rsid w:val="008C4958"/>
    <w:rsid w:val="008C4BAA"/>
    <w:rsid w:val="008C6AE8"/>
    <w:rsid w:val="008C7573"/>
    <w:rsid w:val="008C7695"/>
    <w:rsid w:val="008D34F1"/>
    <w:rsid w:val="008D39D8"/>
    <w:rsid w:val="008D48FA"/>
    <w:rsid w:val="008D6D1A"/>
    <w:rsid w:val="008E065E"/>
    <w:rsid w:val="008E0927"/>
    <w:rsid w:val="008E1909"/>
    <w:rsid w:val="008E38F0"/>
    <w:rsid w:val="008E5F64"/>
    <w:rsid w:val="008F1EAB"/>
    <w:rsid w:val="008F2967"/>
    <w:rsid w:val="008F33DC"/>
    <w:rsid w:val="008F477F"/>
    <w:rsid w:val="008F5390"/>
    <w:rsid w:val="00902350"/>
    <w:rsid w:val="0090336B"/>
    <w:rsid w:val="009053AA"/>
    <w:rsid w:val="00906939"/>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5B23"/>
    <w:rsid w:val="00936388"/>
    <w:rsid w:val="009368F3"/>
    <w:rsid w:val="00941636"/>
    <w:rsid w:val="00943742"/>
    <w:rsid w:val="00945C05"/>
    <w:rsid w:val="00946945"/>
    <w:rsid w:val="00947713"/>
    <w:rsid w:val="00950DE7"/>
    <w:rsid w:val="00953920"/>
    <w:rsid w:val="00953D47"/>
    <w:rsid w:val="009562B7"/>
    <w:rsid w:val="00956675"/>
    <w:rsid w:val="0095681E"/>
    <w:rsid w:val="009572D4"/>
    <w:rsid w:val="00961921"/>
    <w:rsid w:val="0096430A"/>
    <w:rsid w:val="0096554B"/>
    <w:rsid w:val="0096584A"/>
    <w:rsid w:val="00965ACD"/>
    <w:rsid w:val="00966EF1"/>
    <w:rsid w:val="00971F08"/>
    <w:rsid w:val="0097603D"/>
    <w:rsid w:val="00976747"/>
    <w:rsid w:val="00976949"/>
    <w:rsid w:val="00980477"/>
    <w:rsid w:val="00985253"/>
    <w:rsid w:val="009853B3"/>
    <w:rsid w:val="0098600F"/>
    <w:rsid w:val="00990630"/>
    <w:rsid w:val="00991761"/>
    <w:rsid w:val="0099266E"/>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BB8"/>
    <w:rsid w:val="009E35DB"/>
    <w:rsid w:val="009E47A3"/>
    <w:rsid w:val="009F08F3"/>
    <w:rsid w:val="009F344F"/>
    <w:rsid w:val="00A021A6"/>
    <w:rsid w:val="00A048A8"/>
    <w:rsid w:val="00A04F49"/>
    <w:rsid w:val="00A05CC3"/>
    <w:rsid w:val="00A13E54"/>
    <w:rsid w:val="00A17F63"/>
    <w:rsid w:val="00A2193B"/>
    <w:rsid w:val="00A2351A"/>
    <w:rsid w:val="00A264A9"/>
    <w:rsid w:val="00A27785"/>
    <w:rsid w:val="00A30187"/>
    <w:rsid w:val="00A31664"/>
    <w:rsid w:val="00A33CD9"/>
    <w:rsid w:val="00A3414A"/>
    <w:rsid w:val="00A3448A"/>
    <w:rsid w:val="00A36297"/>
    <w:rsid w:val="00A4050F"/>
    <w:rsid w:val="00A41E2B"/>
    <w:rsid w:val="00A43377"/>
    <w:rsid w:val="00A45B74"/>
    <w:rsid w:val="00A52E1D"/>
    <w:rsid w:val="00A55426"/>
    <w:rsid w:val="00A61499"/>
    <w:rsid w:val="00A62A77"/>
    <w:rsid w:val="00A63483"/>
    <w:rsid w:val="00A657D7"/>
    <w:rsid w:val="00A660AC"/>
    <w:rsid w:val="00A67E6C"/>
    <w:rsid w:val="00A701AC"/>
    <w:rsid w:val="00A70BE1"/>
    <w:rsid w:val="00A71B99"/>
    <w:rsid w:val="00A739D0"/>
    <w:rsid w:val="00A761D4"/>
    <w:rsid w:val="00A77EC4"/>
    <w:rsid w:val="00A82A69"/>
    <w:rsid w:val="00A8355C"/>
    <w:rsid w:val="00A84378"/>
    <w:rsid w:val="00A90B61"/>
    <w:rsid w:val="00A91579"/>
    <w:rsid w:val="00A92879"/>
    <w:rsid w:val="00A9442A"/>
    <w:rsid w:val="00A96A48"/>
    <w:rsid w:val="00AA016F"/>
    <w:rsid w:val="00AA1ED6"/>
    <w:rsid w:val="00AA2B52"/>
    <w:rsid w:val="00AA51D6"/>
    <w:rsid w:val="00AB0ADF"/>
    <w:rsid w:val="00AB0BC8"/>
    <w:rsid w:val="00AB11CA"/>
    <w:rsid w:val="00AB14D9"/>
    <w:rsid w:val="00AB2E8B"/>
    <w:rsid w:val="00AB4AB8"/>
    <w:rsid w:val="00AB655E"/>
    <w:rsid w:val="00AB751D"/>
    <w:rsid w:val="00AC007F"/>
    <w:rsid w:val="00AC2ECD"/>
    <w:rsid w:val="00AC3119"/>
    <w:rsid w:val="00AC482C"/>
    <w:rsid w:val="00AC49FB"/>
    <w:rsid w:val="00AC5A10"/>
    <w:rsid w:val="00AC6C4C"/>
    <w:rsid w:val="00AD0AA3"/>
    <w:rsid w:val="00AD165F"/>
    <w:rsid w:val="00AD3F94"/>
    <w:rsid w:val="00AD4813"/>
    <w:rsid w:val="00AD4A5A"/>
    <w:rsid w:val="00AE27AC"/>
    <w:rsid w:val="00AE3743"/>
    <w:rsid w:val="00AE40E0"/>
    <w:rsid w:val="00AE4DBA"/>
    <w:rsid w:val="00AE4F07"/>
    <w:rsid w:val="00AF17A9"/>
    <w:rsid w:val="00AF1C5D"/>
    <w:rsid w:val="00AF42D7"/>
    <w:rsid w:val="00B00414"/>
    <w:rsid w:val="00B006FE"/>
    <w:rsid w:val="00B007CB"/>
    <w:rsid w:val="00B02AA9"/>
    <w:rsid w:val="00B02B15"/>
    <w:rsid w:val="00B02FA3"/>
    <w:rsid w:val="00B05084"/>
    <w:rsid w:val="00B0748A"/>
    <w:rsid w:val="00B10481"/>
    <w:rsid w:val="00B104D7"/>
    <w:rsid w:val="00B157F9"/>
    <w:rsid w:val="00B20256"/>
    <w:rsid w:val="00B20D09"/>
    <w:rsid w:val="00B2763F"/>
    <w:rsid w:val="00B27AAC"/>
    <w:rsid w:val="00B30929"/>
    <w:rsid w:val="00B372AA"/>
    <w:rsid w:val="00B4012C"/>
    <w:rsid w:val="00B40445"/>
    <w:rsid w:val="00B41888"/>
    <w:rsid w:val="00B45A52"/>
    <w:rsid w:val="00B46175"/>
    <w:rsid w:val="00B50887"/>
    <w:rsid w:val="00B51775"/>
    <w:rsid w:val="00B6188F"/>
    <w:rsid w:val="00B61E60"/>
    <w:rsid w:val="00B664C7"/>
    <w:rsid w:val="00B739F6"/>
    <w:rsid w:val="00B81A6C"/>
    <w:rsid w:val="00B85DE5"/>
    <w:rsid w:val="00B87530"/>
    <w:rsid w:val="00B87AF7"/>
    <w:rsid w:val="00B900BA"/>
    <w:rsid w:val="00B90F73"/>
    <w:rsid w:val="00B92BD7"/>
    <w:rsid w:val="00B936D2"/>
    <w:rsid w:val="00B93B59"/>
    <w:rsid w:val="00B9406A"/>
    <w:rsid w:val="00B963CB"/>
    <w:rsid w:val="00BA2280"/>
    <w:rsid w:val="00BA2A08"/>
    <w:rsid w:val="00BA56D2"/>
    <w:rsid w:val="00BA6CEC"/>
    <w:rsid w:val="00BA76E0"/>
    <w:rsid w:val="00BB2A25"/>
    <w:rsid w:val="00BB51E9"/>
    <w:rsid w:val="00BC0FDC"/>
    <w:rsid w:val="00BC3053"/>
    <w:rsid w:val="00BC4D2E"/>
    <w:rsid w:val="00BD48AC"/>
    <w:rsid w:val="00BD5F1A"/>
    <w:rsid w:val="00BE1234"/>
    <w:rsid w:val="00BE2FA6"/>
    <w:rsid w:val="00BE333F"/>
    <w:rsid w:val="00BE7406"/>
    <w:rsid w:val="00BE760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478"/>
    <w:rsid w:val="00C12107"/>
    <w:rsid w:val="00C13A31"/>
    <w:rsid w:val="00C14D4B"/>
    <w:rsid w:val="00C154BB"/>
    <w:rsid w:val="00C17BAF"/>
    <w:rsid w:val="00C279B5"/>
    <w:rsid w:val="00C27C45"/>
    <w:rsid w:val="00C30E7E"/>
    <w:rsid w:val="00C33212"/>
    <w:rsid w:val="00C3719D"/>
    <w:rsid w:val="00C440F2"/>
    <w:rsid w:val="00C45305"/>
    <w:rsid w:val="00C54995"/>
    <w:rsid w:val="00C54D41"/>
    <w:rsid w:val="00C60783"/>
    <w:rsid w:val="00C64672"/>
    <w:rsid w:val="00C70697"/>
    <w:rsid w:val="00C72EF4"/>
    <w:rsid w:val="00C75D2F"/>
    <w:rsid w:val="00C767BE"/>
    <w:rsid w:val="00C76E3C"/>
    <w:rsid w:val="00C81568"/>
    <w:rsid w:val="00C8204E"/>
    <w:rsid w:val="00C858B9"/>
    <w:rsid w:val="00C9027A"/>
    <w:rsid w:val="00C9068E"/>
    <w:rsid w:val="00C9230E"/>
    <w:rsid w:val="00C93C4B"/>
    <w:rsid w:val="00C944AB"/>
    <w:rsid w:val="00C95B40"/>
    <w:rsid w:val="00CA1ED8"/>
    <w:rsid w:val="00CA5417"/>
    <w:rsid w:val="00CB1F63"/>
    <w:rsid w:val="00CB527F"/>
    <w:rsid w:val="00CB6EA8"/>
    <w:rsid w:val="00CB7170"/>
    <w:rsid w:val="00CC040E"/>
    <w:rsid w:val="00CC111F"/>
    <w:rsid w:val="00CC2011"/>
    <w:rsid w:val="00CC3EA0"/>
    <w:rsid w:val="00CC56E4"/>
    <w:rsid w:val="00CC7B45"/>
    <w:rsid w:val="00CD1188"/>
    <w:rsid w:val="00CD1C8B"/>
    <w:rsid w:val="00CD2ED1"/>
    <w:rsid w:val="00CD337B"/>
    <w:rsid w:val="00CD4030"/>
    <w:rsid w:val="00CE0424"/>
    <w:rsid w:val="00CE045B"/>
    <w:rsid w:val="00CE154C"/>
    <w:rsid w:val="00CE4DCE"/>
    <w:rsid w:val="00CE7401"/>
    <w:rsid w:val="00CE7561"/>
    <w:rsid w:val="00CF1354"/>
    <w:rsid w:val="00CF3B1F"/>
    <w:rsid w:val="00CF3BF6"/>
    <w:rsid w:val="00CF42AE"/>
    <w:rsid w:val="00CF625B"/>
    <w:rsid w:val="00CF687E"/>
    <w:rsid w:val="00D0349B"/>
    <w:rsid w:val="00D07A46"/>
    <w:rsid w:val="00D10249"/>
    <w:rsid w:val="00D115C3"/>
    <w:rsid w:val="00D11897"/>
    <w:rsid w:val="00D13135"/>
    <w:rsid w:val="00D13E4E"/>
    <w:rsid w:val="00D22667"/>
    <w:rsid w:val="00D22F0C"/>
    <w:rsid w:val="00D239A7"/>
    <w:rsid w:val="00D23F47"/>
    <w:rsid w:val="00D266DF"/>
    <w:rsid w:val="00D3427B"/>
    <w:rsid w:val="00D36E71"/>
    <w:rsid w:val="00D37D87"/>
    <w:rsid w:val="00D40B33"/>
    <w:rsid w:val="00D4318F"/>
    <w:rsid w:val="00D438BF"/>
    <w:rsid w:val="00D440F8"/>
    <w:rsid w:val="00D4790C"/>
    <w:rsid w:val="00D479E4"/>
    <w:rsid w:val="00D50F97"/>
    <w:rsid w:val="00D546FF"/>
    <w:rsid w:val="00D55AD5"/>
    <w:rsid w:val="00D55AE9"/>
    <w:rsid w:val="00D576CA"/>
    <w:rsid w:val="00D61AF5"/>
    <w:rsid w:val="00D652B5"/>
    <w:rsid w:val="00D6578E"/>
    <w:rsid w:val="00D66155"/>
    <w:rsid w:val="00D708B0"/>
    <w:rsid w:val="00D77B1D"/>
    <w:rsid w:val="00D8021F"/>
    <w:rsid w:val="00D80383"/>
    <w:rsid w:val="00D80E27"/>
    <w:rsid w:val="00D823C6"/>
    <w:rsid w:val="00D86CA3"/>
    <w:rsid w:val="00D871CE"/>
    <w:rsid w:val="00D9196D"/>
    <w:rsid w:val="00D92982"/>
    <w:rsid w:val="00D94DD4"/>
    <w:rsid w:val="00DA305E"/>
    <w:rsid w:val="00DA5417"/>
    <w:rsid w:val="00DA56E8"/>
    <w:rsid w:val="00DB0A9F"/>
    <w:rsid w:val="00DB1613"/>
    <w:rsid w:val="00DB377D"/>
    <w:rsid w:val="00DB5AB6"/>
    <w:rsid w:val="00DC2D36"/>
    <w:rsid w:val="00DC53EF"/>
    <w:rsid w:val="00DD30A0"/>
    <w:rsid w:val="00DE4D51"/>
    <w:rsid w:val="00DE5608"/>
    <w:rsid w:val="00DE58D0"/>
    <w:rsid w:val="00DE654F"/>
    <w:rsid w:val="00DF0B6E"/>
    <w:rsid w:val="00DF15E0"/>
    <w:rsid w:val="00DF2B27"/>
    <w:rsid w:val="00DF37A0"/>
    <w:rsid w:val="00DF4E9E"/>
    <w:rsid w:val="00E035A5"/>
    <w:rsid w:val="00E05BF4"/>
    <w:rsid w:val="00E110E7"/>
    <w:rsid w:val="00E11B20"/>
    <w:rsid w:val="00E17FA2"/>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46F1"/>
    <w:rsid w:val="00E46886"/>
    <w:rsid w:val="00E47AEF"/>
    <w:rsid w:val="00E53B75"/>
    <w:rsid w:val="00E54E3B"/>
    <w:rsid w:val="00E57565"/>
    <w:rsid w:val="00E600C1"/>
    <w:rsid w:val="00E61497"/>
    <w:rsid w:val="00E63838"/>
    <w:rsid w:val="00E64434"/>
    <w:rsid w:val="00E67BE6"/>
    <w:rsid w:val="00E67C51"/>
    <w:rsid w:val="00E72EFC"/>
    <w:rsid w:val="00E758EC"/>
    <w:rsid w:val="00E8234C"/>
    <w:rsid w:val="00E83AA9"/>
    <w:rsid w:val="00E85928"/>
    <w:rsid w:val="00E87488"/>
    <w:rsid w:val="00E87822"/>
    <w:rsid w:val="00E87ADB"/>
    <w:rsid w:val="00E90395"/>
    <w:rsid w:val="00E90E49"/>
    <w:rsid w:val="00E917F9"/>
    <w:rsid w:val="00E9291C"/>
    <w:rsid w:val="00E93FFE"/>
    <w:rsid w:val="00E94F8A"/>
    <w:rsid w:val="00EA7A41"/>
    <w:rsid w:val="00EB077B"/>
    <w:rsid w:val="00EB1074"/>
    <w:rsid w:val="00EB2DE2"/>
    <w:rsid w:val="00EB2F2B"/>
    <w:rsid w:val="00EB4EA2"/>
    <w:rsid w:val="00EC27C6"/>
    <w:rsid w:val="00EC4207"/>
    <w:rsid w:val="00EC5653"/>
    <w:rsid w:val="00EC71CE"/>
    <w:rsid w:val="00EC7442"/>
    <w:rsid w:val="00ED1006"/>
    <w:rsid w:val="00EE3ACE"/>
    <w:rsid w:val="00EF18FE"/>
    <w:rsid w:val="00EF34F6"/>
    <w:rsid w:val="00EF5787"/>
    <w:rsid w:val="00EF60D0"/>
    <w:rsid w:val="00F0528D"/>
    <w:rsid w:val="00F06C67"/>
    <w:rsid w:val="00F06DFD"/>
    <w:rsid w:val="00F071D1"/>
    <w:rsid w:val="00F07533"/>
    <w:rsid w:val="00F10377"/>
    <w:rsid w:val="00F10629"/>
    <w:rsid w:val="00F154D4"/>
    <w:rsid w:val="00F15FA5"/>
    <w:rsid w:val="00F161B0"/>
    <w:rsid w:val="00F17099"/>
    <w:rsid w:val="00F1733E"/>
    <w:rsid w:val="00F209B7"/>
    <w:rsid w:val="00F2376F"/>
    <w:rsid w:val="00F243D8"/>
    <w:rsid w:val="00F273AE"/>
    <w:rsid w:val="00F30828"/>
    <w:rsid w:val="00F313D6"/>
    <w:rsid w:val="00F3515E"/>
    <w:rsid w:val="00F40F0C"/>
    <w:rsid w:val="00F4193D"/>
    <w:rsid w:val="00F47357"/>
    <w:rsid w:val="00F4766C"/>
    <w:rsid w:val="00F507D1"/>
    <w:rsid w:val="00F50A2D"/>
    <w:rsid w:val="00F519CE"/>
    <w:rsid w:val="00F51ADA"/>
    <w:rsid w:val="00F550C2"/>
    <w:rsid w:val="00F601D3"/>
    <w:rsid w:val="00F607C5"/>
    <w:rsid w:val="00F60DEA"/>
    <w:rsid w:val="00F6302A"/>
    <w:rsid w:val="00F64C2B"/>
    <w:rsid w:val="00F651BE"/>
    <w:rsid w:val="00F67F53"/>
    <w:rsid w:val="00F703BE"/>
    <w:rsid w:val="00F70586"/>
    <w:rsid w:val="00F71F69"/>
    <w:rsid w:val="00F72B72"/>
    <w:rsid w:val="00F74BB9"/>
    <w:rsid w:val="00F75582"/>
    <w:rsid w:val="00F76EFA"/>
    <w:rsid w:val="00F804BE"/>
    <w:rsid w:val="00F817CE"/>
    <w:rsid w:val="00F8456C"/>
    <w:rsid w:val="00F859D8"/>
    <w:rsid w:val="00F868F5"/>
    <w:rsid w:val="00F870DF"/>
    <w:rsid w:val="00F9056A"/>
    <w:rsid w:val="00F90F8D"/>
    <w:rsid w:val="00F92782"/>
    <w:rsid w:val="00F93AA9"/>
    <w:rsid w:val="00F96985"/>
    <w:rsid w:val="00F97838"/>
    <w:rsid w:val="00FA21F9"/>
    <w:rsid w:val="00FA2BB3"/>
    <w:rsid w:val="00FA6FA8"/>
    <w:rsid w:val="00FB4C80"/>
    <w:rsid w:val="00FB657F"/>
    <w:rsid w:val="00FB6A6A"/>
    <w:rsid w:val="00FC0317"/>
    <w:rsid w:val="00FC47EC"/>
    <w:rsid w:val="00FC7429"/>
    <w:rsid w:val="00FD07F6"/>
    <w:rsid w:val="00FD093C"/>
    <w:rsid w:val="00FD1EC8"/>
    <w:rsid w:val="00FD47ED"/>
    <w:rsid w:val="00FD74DB"/>
    <w:rsid w:val="00FD7660"/>
    <w:rsid w:val="00FE0655"/>
    <w:rsid w:val="00FE2365"/>
    <w:rsid w:val="00FE3D20"/>
    <w:rsid w:val="00FE3E0D"/>
    <w:rsid w:val="00FE4C7B"/>
    <w:rsid w:val="00FE7336"/>
    <w:rsid w:val="00FE787C"/>
    <w:rsid w:val="00FF45A5"/>
    <w:rsid w:val="00FF5C91"/>
    <w:rsid w:val="00FF6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963C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963C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963C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963CB"/>
    <w:pPr>
      <w:numPr>
        <w:ilvl w:val="2"/>
      </w:numPr>
      <w:spacing w:before="120"/>
      <w:outlineLvl w:val="2"/>
    </w:pPr>
    <w:rPr>
      <w:sz w:val="28"/>
      <w:szCs w:val="28"/>
    </w:rPr>
  </w:style>
  <w:style w:type="paragraph" w:styleId="Heading4">
    <w:name w:val="heading 4"/>
    <w:basedOn w:val="Heading3"/>
    <w:next w:val="Normal"/>
    <w:qFormat/>
    <w:rsid w:val="00B963CB"/>
    <w:pPr>
      <w:numPr>
        <w:ilvl w:val="3"/>
      </w:numPr>
      <w:outlineLvl w:val="3"/>
    </w:pPr>
    <w:rPr>
      <w:sz w:val="24"/>
      <w:szCs w:val="24"/>
    </w:rPr>
  </w:style>
  <w:style w:type="paragraph" w:styleId="Heading5">
    <w:name w:val="heading 5"/>
    <w:basedOn w:val="Heading4"/>
    <w:next w:val="Normal"/>
    <w:qFormat/>
    <w:rsid w:val="00B963CB"/>
    <w:pPr>
      <w:numPr>
        <w:ilvl w:val="4"/>
      </w:numPr>
      <w:outlineLvl w:val="4"/>
    </w:pPr>
    <w:rPr>
      <w:sz w:val="22"/>
      <w:szCs w:val="22"/>
    </w:rPr>
  </w:style>
  <w:style w:type="paragraph" w:styleId="Heading6">
    <w:name w:val="heading 6"/>
    <w:basedOn w:val="Normal"/>
    <w:next w:val="Normal"/>
    <w:qFormat/>
    <w:rsid w:val="00B963CB"/>
    <w:pPr>
      <w:keepNext/>
      <w:keepLines/>
      <w:numPr>
        <w:ilvl w:val="5"/>
        <w:numId w:val="1"/>
      </w:numPr>
      <w:spacing w:before="120"/>
      <w:outlineLvl w:val="5"/>
    </w:pPr>
    <w:rPr>
      <w:rFonts w:cs="Arial"/>
    </w:rPr>
  </w:style>
  <w:style w:type="paragraph" w:styleId="Heading7">
    <w:name w:val="heading 7"/>
    <w:basedOn w:val="Normal"/>
    <w:next w:val="Normal"/>
    <w:qFormat/>
    <w:rsid w:val="00B963CB"/>
    <w:pPr>
      <w:keepNext/>
      <w:keepLines/>
      <w:numPr>
        <w:ilvl w:val="6"/>
        <w:numId w:val="1"/>
      </w:numPr>
      <w:spacing w:before="120"/>
      <w:outlineLvl w:val="6"/>
    </w:pPr>
    <w:rPr>
      <w:rFonts w:cs="Arial"/>
    </w:rPr>
  </w:style>
  <w:style w:type="paragraph" w:styleId="Heading8">
    <w:name w:val="heading 8"/>
    <w:basedOn w:val="Heading7"/>
    <w:next w:val="Normal"/>
    <w:qFormat/>
    <w:rsid w:val="00B963CB"/>
    <w:pPr>
      <w:numPr>
        <w:ilvl w:val="7"/>
      </w:numPr>
      <w:outlineLvl w:val="7"/>
    </w:pPr>
  </w:style>
  <w:style w:type="paragraph" w:styleId="Heading9">
    <w:name w:val="heading 9"/>
    <w:basedOn w:val="Heading8"/>
    <w:next w:val="Normal"/>
    <w:qFormat/>
    <w:rsid w:val="00B963C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63CB"/>
    <w:pPr>
      <w:spacing w:before="180"/>
      <w:ind w:left="2693" w:hanging="2693"/>
    </w:pPr>
    <w:rPr>
      <w:b w:val="0"/>
      <w:bCs/>
    </w:rPr>
  </w:style>
  <w:style w:type="paragraph" w:styleId="TOC1">
    <w:name w:val="toc 1"/>
    <w:aliases w:val="Observation TOC2"/>
    <w:uiPriority w:val="39"/>
    <w:rsid w:val="00B963C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963CB"/>
    <w:pPr>
      <w:keepNext/>
      <w:keepLines/>
      <w:spacing w:before="180"/>
      <w:jc w:val="center"/>
    </w:pPr>
  </w:style>
  <w:style w:type="paragraph" w:styleId="Caption">
    <w:name w:val="caption"/>
    <w:basedOn w:val="Normal"/>
    <w:next w:val="Normal"/>
    <w:qFormat/>
    <w:rsid w:val="00B963CB"/>
    <w:pPr>
      <w:spacing w:after="240"/>
      <w:jc w:val="center"/>
    </w:pPr>
    <w:rPr>
      <w:b/>
      <w:bCs/>
    </w:rPr>
  </w:style>
  <w:style w:type="paragraph" w:styleId="TOC5">
    <w:name w:val="toc 5"/>
    <w:aliases w:val="Observation TOC"/>
    <w:basedOn w:val="TOC4"/>
    <w:semiHidden/>
    <w:rsid w:val="00B963CB"/>
    <w:pPr>
      <w:tabs>
        <w:tab w:val="right" w:pos="1701"/>
      </w:tabs>
      <w:ind w:left="1701" w:hanging="1701"/>
    </w:pPr>
  </w:style>
  <w:style w:type="paragraph" w:styleId="TOC4">
    <w:name w:val="toc 4"/>
    <w:basedOn w:val="TOC3"/>
    <w:semiHidden/>
    <w:rsid w:val="00B963CB"/>
    <w:pPr>
      <w:ind w:left="1418" w:hanging="1418"/>
    </w:pPr>
  </w:style>
  <w:style w:type="paragraph" w:styleId="TOC3">
    <w:name w:val="toc 3"/>
    <w:basedOn w:val="TOC2"/>
    <w:semiHidden/>
    <w:rsid w:val="00B963CB"/>
    <w:pPr>
      <w:ind w:left="1134" w:hanging="1134"/>
    </w:pPr>
  </w:style>
  <w:style w:type="paragraph" w:styleId="TOC2">
    <w:name w:val="toc 2"/>
    <w:basedOn w:val="TOC1"/>
    <w:rsid w:val="00B963CB"/>
    <w:pPr>
      <w:keepNext w:val="0"/>
      <w:spacing w:before="0"/>
      <w:ind w:left="851" w:hanging="851"/>
    </w:pPr>
    <w:rPr>
      <w:szCs w:val="20"/>
    </w:rPr>
  </w:style>
  <w:style w:type="paragraph" w:styleId="Index2">
    <w:name w:val="index 2"/>
    <w:basedOn w:val="Index1"/>
    <w:semiHidden/>
    <w:rsid w:val="00B963CB"/>
    <w:pPr>
      <w:ind w:left="284"/>
    </w:pPr>
  </w:style>
  <w:style w:type="paragraph" w:styleId="Index1">
    <w:name w:val="index 1"/>
    <w:basedOn w:val="Normal"/>
    <w:semiHidden/>
    <w:rsid w:val="00B963CB"/>
    <w:pPr>
      <w:keepLines/>
      <w:spacing w:after="0"/>
    </w:pPr>
  </w:style>
  <w:style w:type="paragraph" w:styleId="DocumentMap">
    <w:name w:val="Document Map"/>
    <w:basedOn w:val="Normal"/>
    <w:semiHidden/>
    <w:rsid w:val="00B963CB"/>
    <w:pPr>
      <w:shd w:val="clear" w:color="auto" w:fill="000080"/>
    </w:pPr>
    <w:rPr>
      <w:rFonts w:ascii="Tahoma" w:hAnsi="Tahoma" w:cs="Tahoma"/>
    </w:rPr>
  </w:style>
  <w:style w:type="paragraph" w:styleId="ListNumber2">
    <w:name w:val="List Number 2"/>
    <w:basedOn w:val="ListNumber"/>
    <w:rsid w:val="00B963CB"/>
    <w:pPr>
      <w:ind w:left="851"/>
    </w:pPr>
  </w:style>
  <w:style w:type="paragraph" w:styleId="ListNumber">
    <w:name w:val="List Number"/>
    <w:basedOn w:val="List"/>
    <w:rsid w:val="00B963CB"/>
  </w:style>
  <w:style w:type="paragraph" w:styleId="List">
    <w:name w:val="List"/>
    <w:basedOn w:val="Normal"/>
    <w:rsid w:val="00B963CB"/>
    <w:pPr>
      <w:ind w:left="568" w:hanging="284"/>
    </w:pPr>
  </w:style>
  <w:style w:type="paragraph" w:styleId="Header">
    <w:name w:val="header"/>
    <w:rsid w:val="00B963C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963CB"/>
    <w:rPr>
      <w:b/>
      <w:bCs/>
      <w:position w:val="6"/>
      <w:sz w:val="16"/>
      <w:szCs w:val="16"/>
    </w:rPr>
  </w:style>
  <w:style w:type="paragraph" w:styleId="FootnoteText">
    <w:name w:val="footnote text"/>
    <w:basedOn w:val="Normal"/>
    <w:semiHidden/>
    <w:rsid w:val="00B963CB"/>
    <w:pPr>
      <w:keepLines/>
      <w:spacing w:after="0"/>
      <w:ind w:left="454" w:hanging="454"/>
    </w:pPr>
    <w:rPr>
      <w:sz w:val="16"/>
      <w:szCs w:val="16"/>
    </w:rPr>
  </w:style>
  <w:style w:type="paragraph" w:customStyle="1" w:styleId="3GPPHeader">
    <w:name w:val="3GPP_Header"/>
    <w:basedOn w:val="Normal"/>
    <w:rsid w:val="00B963CB"/>
    <w:pPr>
      <w:tabs>
        <w:tab w:val="left" w:pos="1701"/>
        <w:tab w:val="right" w:pos="9639"/>
      </w:tabs>
      <w:spacing w:after="240"/>
    </w:pPr>
    <w:rPr>
      <w:b/>
      <w:sz w:val="24"/>
    </w:rPr>
  </w:style>
  <w:style w:type="paragraph" w:styleId="TOC9">
    <w:name w:val="toc 9"/>
    <w:basedOn w:val="TOC8"/>
    <w:semiHidden/>
    <w:rsid w:val="00B963CB"/>
    <w:pPr>
      <w:ind w:left="1418" w:hanging="1418"/>
    </w:pPr>
  </w:style>
  <w:style w:type="paragraph" w:styleId="TOC6">
    <w:name w:val="toc 6"/>
    <w:basedOn w:val="TOC5"/>
    <w:next w:val="Normal"/>
    <w:semiHidden/>
    <w:rsid w:val="00B963CB"/>
    <w:pPr>
      <w:ind w:left="1985" w:hanging="1985"/>
    </w:pPr>
  </w:style>
  <w:style w:type="paragraph" w:styleId="TOC7">
    <w:name w:val="toc 7"/>
    <w:basedOn w:val="TOC6"/>
    <w:next w:val="Normal"/>
    <w:semiHidden/>
    <w:rsid w:val="00B963CB"/>
    <w:pPr>
      <w:ind w:left="2268" w:hanging="2268"/>
    </w:pPr>
  </w:style>
  <w:style w:type="paragraph" w:styleId="ListBullet2">
    <w:name w:val="List Bullet 2"/>
    <w:basedOn w:val="ListBullet"/>
    <w:rsid w:val="00B963CB"/>
    <w:pPr>
      <w:numPr>
        <w:numId w:val="6"/>
      </w:numPr>
    </w:pPr>
  </w:style>
  <w:style w:type="paragraph" w:styleId="ListBullet">
    <w:name w:val="List Bullet"/>
    <w:basedOn w:val="BodyText"/>
    <w:rsid w:val="00B963CB"/>
    <w:pPr>
      <w:numPr>
        <w:numId w:val="5"/>
      </w:numPr>
    </w:pPr>
  </w:style>
  <w:style w:type="paragraph" w:styleId="ListBullet3">
    <w:name w:val="List Bullet 3"/>
    <w:basedOn w:val="ListBullet2"/>
    <w:rsid w:val="00B963CB"/>
    <w:pPr>
      <w:numPr>
        <w:numId w:val="7"/>
      </w:numPr>
    </w:pPr>
  </w:style>
  <w:style w:type="paragraph" w:customStyle="1" w:styleId="EQ">
    <w:name w:val="EQ"/>
    <w:basedOn w:val="Normal"/>
    <w:next w:val="Normal"/>
    <w:rsid w:val="00B963CB"/>
    <w:pPr>
      <w:keepLines/>
      <w:tabs>
        <w:tab w:val="center" w:pos="4536"/>
        <w:tab w:val="right" w:pos="9072"/>
      </w:tabs>
      <w:spacing w:after="180"/>
      <w:jc w:val="left"/>
    </w:pPr>
    <w:rPr>
      <w:noProof/>
      <w:lang w:eastAsia="en-US"/>
    </w:rPr>
  </w:style>
  <w:style w:type="paragraph" w:styleId="List2">
    <w:name w:val="List 2"/>
    <w:basedOn w:val="List"/>
    <w:rsid w:val="00B963CB"/>
    <w:pPr>
      <w:ind w:left="851"/>
    </w:pPr>
  </w:style>
  <w:style w:type="paragraph" w:styleId="List3">
    <w:name w:val="List 3"/>
    <w:basedOn w:val="List2"/>
    <w:rsid w:val="00B963CB"/>
    <w:pPr>
      <w:ind w:left="1135"/>
    </w:pPr>
  </w:style>
  <w:style w:type="paragraph" w:styleId="List4">
    <w:name w:val="List 4"/>
    <w:basedOn w:val="List3"/>
    <w:rsid w:val="00B963CB"/>
    <w:pPr>
      <w:ind w:left="1418"/>
    </w:pPr>
  </w:style>
  <w:style w:type="paragraph" w:styleId="List5">
    <w:name w:val="List 5"/>
    <w:basedOn w:val="List4"/>
    <w:rsid w:val="00B963CB"/>
    <w:pPr>
      <w:ind w:left="1702"/>
    </w:pPr>
  </w:style>
  <w:style w:type="paragraph" w:customStyle="1" w:styleId="EditorsNote">
    <w:name w:val="Editor's Note"/>
    <w:basedOn w:val="Normal"/>
    <w:rsid w:val="00B963CB"/>
    <w:pPr>
      <w:keepLines/>
      <w:spacing w:after="180"/>
      <w:ind w:left="1135" w:hanging="851"/>
      <w:jc w:val="left"/>
    </w:pPr>
    <w:rPr>
      <w:color w:val="FF0000"/>
      <w:lang w:eastAsia="en-US"/>
    </w:rPr>
  </w:style>
  <w:style w:type="paragraph" w:styleId="ListBullet4">
    <w:name w:val="List Bullet 4"/>
    <w:basedOn w:val="ListBullet3"/>
    <w:rsid w:val="00B963CB"/>
    <w:pPr>
      <w:numPr>
        <w:numId w:val="8"/>
      </w:numPr>
    </w:pPr>
  </w:style>
  <w:style w:type="paragraph" w:styleId="ListBullet5">
    <w:name w:val="List Bullet 5"/>
    <w:basedOn w:val="ListBullet4"/>
    <w:rsid w:val="00B963CB"/>
    <w:pPr>
      <w:numPr>
        <w:numId w:val="4"/>
      </w:numPr>
    </w:pPr>
  </w:style>
  <w:style w:type="paragraph" w:styleId="Footer">
    <w:name w:val="footer"/>
    <w:basedOn w:val="Header"/>
    <w:semiHidden/>
    <w:rsid w:val="00B963CB"/>
    <w:pPr>
      <w:jc w:val="center"/>
    </w:pPr>
    <w:rPr>
      <w:i/>
      <w:iCs/>
    </w:rPr>
  </w:style>
  <w:style w:type="paragraph" w:customStyle="1" w:styleId="Reference">
    <w:name w:val="Reference"/>
    <w:basedOn w:val="Normal"/>
    <w:link w:val="ReferenceChar"/>
    <w:rsid w:val="00B963CB"/>
    <w:pPr>
      <w:numPr>
        <w:numId w:val="2"/>
      </w:numPr>
    </w:pPr>
  </w:style>
  <w:style w:type="paragraph" w:styleId="BalloonText">
    <w:name w:val="Balloon Text"/>
    <w:basedOn w:val="Normal"/>
    <w:semiHidden/>
    <w:rsid w:val="00B963CB"/>
    <w:rPr>
      <w:rFonts w:ascii="Tahoma" w:hAnsi="Tahoma" w:cs="Tahoma"/>
      <w:sz w:val="16"/>
      <w:szCs w:val="16"/>
    </w:rPr>
  </w:style>
  <w:style w:type="character" w:styleId="PageNumber">
    <w:name w:val="page number"/>
    <w:basedOn w:val="DefaultParagraphFont"/>
    <w:semiHidden/>
    <w:rsid w:val="00B963CB"/>
  </w:style>
  <w:style w:type="paragraph" w:styleId="BodyText">
    <w:name w:val="Body Text"/>
    <w:basedOn w:val="Normal"/>
    <w:link w:val="BodyTextChar"/>
    <w:rsid w:val="00B963CB"/>
  </w:style>
  <w:style w:type="character" w:styleId="Hyperlink">
    <w:name w:val="Hyperlink"/>
    <w:uiPriority w:val="99"/>
    <w:rsid w:val="00B963CB"/>
    <w:rPr>
      <w:color w:val="0000FF"/>
      <w:u w:val="single"/>
      <w:lang w:val="en-GB"/>
    </w:rPr>
  </w:style>
  <w:style w:type="character" w:styleId="FollowedHyperlink">
    <w:name w:val="FollowedHyperlink"/>
    <w:semiHidden/>
    <w:rsid w:val="00B963CB"/>
    <w:rPr>
      <w:color w:val="FF0000"/>
      <w:u w:val="single"/>
    </w:rPr>
  </w:style>
  <w:style w:type="character" w:styleId="CommentReference">
    <w:name w:val="annotation reference"/>
    <w:semiHidden/>
    <w:rsid w:val="00B963CB"/>
    <w:rPr>
      <w:sz w:val="16"/>
      <w:szCs w:val="16"/>
    </w:rPr>
  </w:style>
  <w:style w:type="paragraph" w:styleId="CommentText">
    <w:name w:val="annotation text"/>
    <w:basedOn w:val="Normal"/>
    <w:link w:val="CommentTextChar"/>
    <w:semiHidden/>
    <w:rsid w:val="00B963CB"/>
  </w:style>
  <w:style w:type="paragraph" w:styleId="CommentSubject">
    <w:name w:val="annotation subject"/>
    <w:basedOn w:val="CommentText"/>
    <w:next w:val="CommentText"/>
    <w:semiHidden/>
    <w:rsid w:val="00B963CB"/>
    <w:rPr>
      <w:b/>
      <w:bCs/>
    </w:rPr>
  </w:style>
  <w:style w:type="character" w:customStyle="1" w:styleId="Heading1Char">
    <w:name w:val="Heading 1 Char"/>
    <w:link w:val="Heading1"/>
    <w:rsid w:val="00B963CB"/>
    <w:rPr>
      <w:rFonts w:ascii="Arial" w:hAnsi="Arial" w:cs="Arial"/>
      <w:sz w:val="36"/>
      <w:szCs w:val="36"/>
      <w:lang w:val="en-GB" w:eastAsia="zh-CN"/>
    </w:rPr>
  </w:style>
  <w:style w:type="paragraph" w:customStyle="1" w:styleId="B1">
    <w:name w:val="B1"/>
    <w:basedOn w:val="List"/>
    <w:rsid w:val="00B963CB"/>
    <w:pPr>
      <w:spacing w:after="180"/>
      <w:jc w:val="left"/>
    </w:pPr>
    <w:rPr>
      <w:lang w:eastAsia="en-US"/>
    </w:rPr>
  </w:style>
  <w:style w:type="paragraph" w:customStyle="1" w:styleId="B2">
    <w:name w:val="B2"/>
    <w:basedOn w:val="List2"/>
    <w:rsid w:val="00B963CB"/>
    <w:pPr>
      <w:spacing w:after="180"/>
      <w:jc w:val="left"/>
    </w:pPr>
    <w:rPr>
      <w:lang w:eastAsia="en-US"/>
    </w:rPr>
  </w:style>
  <w:style w:type="paragraph" w:customStyle="1" w:styleId="B3">
    <w:name w:val="B3"/>
    <w:basedOn w:val="List3"/>
    <w:rsid w:val="00B963CB"/>
    <w:pPr>
      <w:spacing w:after="180"/>
      <w:jc w:val="left"/>
    </w:pPr>
    <w:rPr>
      <w:lang w:eastAsia="en-US"/>
    </w:rPr>
  </w:style>
  <w:style w:type="paragraph" w:customStyle="1" w:styleId="B4">
    <w:name w:val="B4"/>
    <w:basedOn w:val="List4"/>
    <w:rsid w:val="00B963CB"/>
    <w:pPr>
      <w:spacing w:after="180"/>
      <w:jc w:val="left"/>
    </w:pPr>
    <w:rPr>
      <w:lang w:eastAsia="en-US"/>
    </w:rPr>
  </w:style>
  <w:style w:type="paragraph" w:customStyle="1" w:styleId="Proposal">
    <w:name w:val="Proposal"/>
    <w:basedOn w:val="Normal"/>
    <w:rsid w:val="00B963CB"/>
    <w:pPr>
      <w:numPr>
        <w:numId w:val="3"/>
      </w:numPr>
      <w:tabs>
        <w:tab w:val="clear" w:pos="1304"/>
        <w:tab w:val="left" w:pos="1701"/>
      </w:tabs>
      <w:ind w:left="1701" w:hanging="1701"/>
    </w:pPr>
    <w:rPr>
      <w:b/>
      <w:bCs/>
    </w:rPr>
  </w:style>
  <w:style w:type="character" w:customStyle="1" w:styleId="BodyTextChar">
    <w:name w:val="Body Text Char"/>
    <w:link w:val="BodyText"/>
    <w:rsid w:val="00B963CB"/>
    <w:rPr>
      <w:rFonts w:ascii="Arial" w:hAnsi="Arial"/>
      <w:lang w:val="en-GB" w:eastAsia="zh-CN"/>
    </w:rPr>
  </w:style>
  <w:style w:type="paragraph" w:customStyle="1" w:styleId="B5">
    <w:name w:val="B5"/>
    <w:basedOn w:val="List5"/>
    <w:rsid w:val="00B963CB"/>
    <w:pPr>
      <w:spacing w:after="180"/>
      <w:jc w:val="left"/>
    </w:pPr>
    <w:rPr>
      <w:lang w:eastAsia="en-US"/>
    </w:rPr>
  </w:style>
  <w:style w:type="paragraph" w:customStyle="1" w:styleId="EX">
    <w:name w:val="EX"/>
    <w:basedOn w:val="Normal"/>
    <w:rsid w:val="00B963CB"/>
    <w:pPr>
      <w:keepLines/>
      <w:spacing w:after="180"/>
      <w:ind w:left="1702" w:hanging="1418"/>
      <w:jc w:val="left"/>
    </w:pPr>
    <w:rPr>
      <w:lang w:eastAsia="en-US"/>
    </w:rPr>
  </w:style>
  <w:style w:type="paragraph" w:customStyle="1" w:styleId="EW">
    <w:name w:val="EW"/>
    <w:basedOn w:val="EX"/>
    <w:rsid w:val="00B963CB"/>
    <w:pPr>
      <w:spacing w:after="0"/>
    </w:pPr>
  </w:style>
  <w:style w:type="paragraph" w:customStyle="1" w:styleId="TAL">
    <w:name w:val="TAL"/>
    <w:basedOn w:val="Normal"/>
    <w:link w:val="TALChar"/>
    <w:rsid w:val="00B963CB"/>
    <w:pPr>
      <w:keepNext/>
      <w:keepLines/>
      <w:spacing w:after="0"/>
      <w:jc w:val="left"/>
    </w:pPr>
    <w:rPr>
      <w:sz w:val="18"/>
      <w:lang w:eastAsia="en-US"/>
    </w:rPr>
  </w:style>
  <w:style w:type="paragraph" w:customStyle="1" w:styleId="TAC">
    <w:name w:val="TAC"/>
    <w:basedOn w:val="TAL"/>
    <w:rsid w:val="00B963CB"/>
    <w:pPr>
      <w:jc w:val="center"/>
    </w:pPr>
  </w:style>
  <w:style w:type="paragraph" w:customStyle="1" w:styleId="TAH">
    <w:name w:val="TAH"/>
    <w:basedOn w:val="TAC"/>
    <w:link w:val="TAHChar"/>
    <w:rsid w:val="00B963CB"/>
    <w:rPr>
      <w:b/>
    </w:rPr>
  </w:style>
  <w:style w:type="paragraph" w:customStyle="1" w:styleId="TAN">
    <w:name w:val="TAN"/>
    <w:basedOn w:val="TAL"/>
    <w:rsid w:val="00B963CB"/>
    <w:pPr>
      <w:ind w:left="851" w:hanging="851"/>
    </w:pPr>
  </w:style>
  <w:style w:type="paragraph" w:customStyle="1" w:styleId="TAR">
    <w:name w:val="TAR"/>
    <w:basedOn w:val="TAL"/>
    <w:rsid w:val="00B963CB"/>
    <w:pPr>
      <w:jc w:val="right"/>
    </w:pPr>
  </w:style>
  <w:style w:type="paragraph" w:customStyle="1" w:styleId="TH">
    <w:name w:val="TH"/>
    <w:basedOn w:val="Normal"/>
    <w:link w:val="THChar"/>
    <w:rsid w:val="00B963CB"/>
    <w:pPr>
      <w:keepNext/>
      <w:keepLines/>
      <w:spacing w:before="60" w:after="180"/>
      <w:jc w:val="center"/>
    </w:pPr>
    <w:rPr>
      <w:b/>
      <w:lang w:eastAsia="en-US"/>
    </w:rPr>
  </w:style>
  <w:style w:type="paragraph" w:customStyle="1" w:styleId="TF">
    <w:name w:val="TF"/>
    <w:aliases w:val="left"/>
    <w:basedOn w:val="TH"/>
    <w:link w:val="TFChar"/>
    <w:rsid w:val="00B963CB"/>
    <w:pPr>
      <w:keepNext w:val="0"/>
      <w:spacing w:before="0" w:after="240"/>
    </w:pPr>
  </w:style>
  <w:style w:type="paragraph" w:customStyle="1" w:styleId="TT">
    <w:name w:val="TT"/>
    <w:basedOn w:val="Heading1"/>
    <w:next w:val="Normal"/>
    <w:rsid w:val="00B963CB"/>
    <w:pPr>
      <w:numPr>
        <w:numId w:val="0"/>
      </w:numPr>
      <w:ind w:left="1134" w:hanging="1134"/>
      <w:outlineLvl w:val="9"/>
    </w:pPr>
    <w:rPr>
      <w:rFonts w:cs="Times New Roman"/>
      <w:szCs w:val="20"/>
      <w:lang w:eastAsia="en-US"/>
    </w:rPr>
  </w:style>
  <w:style w:type="paragraph" w:customStyle="1" w:styleId="ZA">
    <w:name w:val="ZA"/>
    <w:rsid w:val="00B963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63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63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963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963CB"/>
  </w:style>
  <w:style w:type="paragraph" w:customStyle="1" w:styleId="ZH">
    <w:name w:val="ZH"/>
    <w:rsid w:val="00B963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963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963CB"/>
    <w:pPr>
      <w:framePr w:hRule="auto" w:wrap="notBeside" w:y="852"/>
    </w:pPr>
    <w:rPr>
      <w:i w:val="0"/>
      <w:sz w:val="40"/>
    </w:rPr>
  </w:style>
  <w:style w:type="paragraph" w:customStyle="1" w:styleId="ZU">
    <w:name w:val="ZU"/>
    <w:rsid w:val="00B963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63CB"/>
    <w:pPr>
      <w:framePr w:wrap="notBeside" w:y="16161"/>
    </w:pPr>
  </w:style>
  <w:style w:type="paragraph" w:customStyle="1" w:styleId="FP">
    <w:name w:val="FP"/>
    <w:basedOn w:val="Normal"/>
    <w:rsid w:val="00B963CB"/>
    <w:pPr>
      <w:spacing w:after="0"/>
      <w:jc w:val="left"/>
    </w:pPr>
    <w:rPr>
      <w:lang w:eastAsia="en-US"/>
    </w:rPr>
  </w:style>
  <w:style w:type="paragraph" w:customStyle="1" w:styleId="Observation">
    <w:name w:val="Observation"/>
    <w:basedOn w:val="Proposal"/>
    <w:qFormat/>
    <w:rsid w:val="00B963CB"/>
    <w:pPr>
      <w:numPr>
        <w:numId w:val="13"/>
      </w:numPr>
      <w:ind w:left="1701" w:hanging="1701"/>
    </w:pPr>
  </w:style>
  <w:style w:type="paragraph" w:styleId="TableofFigures">
    <w:name w:val="table of figures"/>
    <w:basedOn w:val="Normal"/>
    <w:next w:val="Normal"/>
    <w:uiPriority w:val="99"/>
    <w:rsid w:val="00B963CB"/>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5NUHHDQN7SK2-1-182919</_dlc_DocId>
    <_dlc_DocIdUrl xmlns="08b2df90-05d3-4030-90d4-c9feeb4a1cd9">
      <Url>https://ericoll.internal.ericsson.com/sites/star/_layouts/DocIdRedir.aspx?ID=5NUHHDQN7SK2-1-182919</Url>
      <Description>5NUHHDQN7SK2-1-182919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90D2D2D8-995A-4C7E-ACD7-7D1C69B54DE3}"/>
</file>

<file path=docProps/app.xml><?xml version="1.0" encoding="utf-8"?>
<Properties xmlns="http://schemas.openxmlformats.org/officeDocument/2006/extended-properties" xmlns:vt="http://schemas.openxmlformats.org/officeDocument/2006/docPropsVTypes">
  <Template>R2-15xxxx - Contribution template.dot</Template>
  <TotalTime>3222</TotalTime>
  <Pages>4</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Osman Yilmaz</cp:lastModifiedBy>
  <cp:revision>92</cp:revision>
  <cp:lastPrinted>2008-01-31T16:09:00Z</cp:lastPrinted>
  <dcterms:created xsi:type="dcterms:W3CDTF">2017-08-09T13:40:00Z</dcterms:created>
  <dcterms:modified xsi:type="dcterms:W3CDTF">2017-09-28T19:54:00Z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47712d86-6227-47e9-be80-db5f874f2eb0</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